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D140B" w14:textId="77777777"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p>
    <w:p w14:paraId="1D26AC03" w14:textId="77777777"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r w:rsidRPr="00672CA9">
        <w:rPr>
          <w:rFonts w:ascii="Calibri" w:eastAsia="Calibri" w:hAnsi="Calibri" w:cs="Times New Roman"/>
          <w:b/>
          <w:bCs/>
          <w:kern w:val="0"/>
          <w:sz w:val="28"/>
          <w:szCs w:val="28"/>
          <w14:ligatures w14:val="none"/>
        </w:rPr>
        <w:t xml:space="preserve">MATRIZ DE OBSERVACIONES </w:t>
      </w:r>
    </w:p>
    <w:p w14:paraId="6FA1BA8A" w14:textId="6BDDF681"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r w:rsidRPr="00672CA9">
        <w:rPr>
          <w:rFonts w:ascii="Calibri" w:eastAsia="Calibri" w:hAnsi="Calibri" w:cs="Times New Roman"/>
          <w:b/>
          <w:bCs/>
          <w:kern w:val="0"/>
          <w:sz w:val="28"/>
          <w:szCs w:val="28"/>
          <w14:ligatures w14:val="none"/>
        </w:rPr>
        <w:t xml:space="preserve">CONSULTA EXTERNA </w:t>
      </w:r>
      <w:r>
        <w:rPr>
          <w:rFonts w:ascii="Calibri" w:eastAsia="Calibri" w:hAnsi="Calibri" w:cs="Times New Roman"/>
          <w:b/>
          <w:bCs/>
          <w:kern w:val="0"/>
          <w:sz w:val="28"/>
          <w:szCs w:val="28"/>
          <w14:ligatures w14:val="none"/>
        </w:rPr>
        <w:t>“</w:t>
      </w:r>
      <w:r w:rsidRPr="00672CA9">
        <w:rPr>
          <w:rFonts w:ascii="Calibri" w:eastAsia="Calibri" w:hAnsi="Calibri" w:cs="Times New Roman"/>
          <w:b/>
          <w:bCs/>
          <w:kern w:val="0"/>
          <w:sz w:val="28"/>
          <w:szCs w:val="28"/>
          <w14:ligatures w14:val="none"/>
        </w:rPr>
        <w:t>DEBERES DE INFORMACIÓN A LOS AFILIADOS, POR PARTE DE LOS ADMINISTRADORES DE FONDOS DE PENSIONES COMPLEMENTARIAS, EN CUANTO AL NOMBRAMIENTO DE BENEFICIARIOS</w:t>
      </w:r>
      <w:r>
        <w:rPr>
          <w:rFonts w:ascii="Calibri" w:eastAsia="Calibri" w:hAnsi="Calibri" w:cs="Times New Roman"/>
          <w:b/>
          <w:bCs/>
          <w:kern w:val="0"/>
          <w:sz w:val="28"/>
          <w:szCs w:val="28"/>
          <w14:ligatures w14:val="none"/>
        </w:rPr>
        <w:t>”</w:t>
      </w:r>
    </w:p>
    <w:p w14:paraId="2A7E3CF7" w14:textId="0942CAAB"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r w:rsidRPr="00672CA9">
        <w:rPr>
          <w:rFonts w:ascii="Calibri" w:eastAsia="Calibri" w:hAnsi="Calibri" w:cs="Times New Roman"/>
          <w:b/>
          <w:bCs/>
          <w:kern w:val="0"/>
          <w:sz w:val="28"/>
          <w:szCs w:val="28"/>
          <w14:ligatures w14:val="none"/>
        </w:rPr>
        <w:t>(Responde al oficio SP-</w:t>
      </w:r>
      <w:r>
        <w:rPr>
          <w:rFonts w:ascii="Calibri" w:eastAsia="Calibri" w:hAnsi="Calibri" w:cs="Times New Roman"/>
          <w:b/>
          <w:bCs/>
          <w:kern w:val="0"/>
          <w:sz w:val="28"/>
          <w:szCs w:val="28"/>
          <w14:ligatures w14:val="none"/>
        </w:rPr>
        <w:t>1438</w:t>
      </w:r>
      <w:r w:rsidRPr="00672CA9">
        <w:rPr>
          <w:rFonts w:ascii="Calibri" w:eastAsia="Calibri" w:hAnsi="Calibri" w:cs="Times New Roman"/>
          <w:b/>
          <w:bCs/>
          <w:kern w:val="0"/>
          <w:sz w:val="28"/>
          <w:szCs w:val="28"/>
          <w14:ligatures w14:val="none"/>
        </w:rPr>
        <w:t>-202</w:t>
      </w:r>
      <w:r>
        <w:rPr>
          <w:rFonts w:ascii="Calibri" w:eastAsia="Calibri" w:hAnsi="Calibri" w:cs="Times New Roman"/>
          <w:b/>
          <w:bCs/>
          <w:kern w:val="0"/>
          <w:sz w:val="28"/>
          <w:szCs w:val="28"/>
          <w14:ligatures w14:val="none"/>
        </w:rPr>
        <w:t>4</w:t>
      </w:r>
      <w:r w:rsidRPr="00672CA9">
        <w:rPr>
          <w:rFonts w:ascii="Calibri" w:eastAsia="Calibri" w:hAnsi="Calibri" w:cs="Times New Roman"/>
          <w:b/>
          <w:bCs/>
          <w:kern w:val="0"/>
          <w:sz w:val="28"/>
          <w:szCs w:val="28"/>
          <w14:ligatures w14:val="none"/>
        </w:rPr>
        <w:t>)</w:t>
      </w:r>
    </w:p>
    <w:p w14:paraId="47F59AE2" w14:textId="77777777"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p>
    <w:p w14:paraId="3443B10F" w14:textId="77777777" w:rsidR="00672CA9" w:rsidRPr="00672CA9" w:rsidRDefault="00672CA9" w:rsidP="00672CA9">
      <w:pPr>
        <w:spacing w:after="0" w:line="259" w:lineRule="auto"/>
        <w:jc w:val="center"/>
        <w:rPr>
          <w:rFonts w:ascii="Calibri" w:eastAsia="Calibri" w:hAnsi="Calibri" w:cs="Times New Roman"/>
          <w:b/>
          <w:bCs/>
          <w:kern w:val="0"/>
          <w:sz w:val="28"/>
          <w:szCs w:val="28"/>
          <w14:ligatures w14:val="none"/>
        </w:rPr>
      </w:pPr>
    </w:p>
    <w:p w14:paraId="23EC67F0" w14:textId="77777777" w:rsidR="00672CA9" w:rsidRPr="00672CA9" w:rsidRDefault="00672CA9" w:rsidP="00672CA9">
      <w:pPr>
        <w:spacing w:line="259" w:lineRule="auto"/>
        <w:rPr>
          <w:rFonts w:ascii="Calibri" w:eastAsia="Calibri" w:hAnsi="Calibri" w:cs="Calibri"/>
          <w:kern w:val="0"/>
          <w:sz w:val="22"/>
          <w:szCs w:val="22"/>
          <w14:ligatures w14:val="none"/>
        </w:rPr>
      </w:pPr>
      <w:r w:rsidRPr="00672CA9">
        <w:rPr>
          <w:rFonts w:ascii="Calibri" w:eastAsia="Calibri" w:hAnsi="Calibri" w:cs="Calibri"/>
          <w:kern w:val="0"/>
          <w:sz w:val="22"/>
          <w:szCs w:val="22"/>
          <w14:ligatures w14:val="none"/>
        </w:rPr>
        <w:t xml:space="preserve"> </w:t>
      </w:r>
    </w:p>
    <w:p w14:paraId="3F5C33B6" w14:textId="07E3547F" w:rsidR="00672CA9" w:rsidRDefault="0060730A" w:rsidP="00672CA9">
      <w:pPr>
        <w:spacing w:line="259" w:lineRule="auto"/>
        <w:rPr>
          <w:rFonts w:ascii="Arial" w:eastAsia="Calibri" w:hAnsi="Arial" w:cs="Arial"/>
          <w:b/>
          <w:bCs/>
          <w:kern w:val="0"/>
          <w:sz w:val="20"/>
          <w:szCs w:val="20"/>
          <w14:ligatures w14:val="none"/>
        </w:rPr>
      </w:pPr>
      <w:r w:rsidRPr="00AB49A4">
        <w:rPr>
          <w:rFonts w:ascii="Arial" w:eastAsia="Calibri" w:hAnsi="Arial" w:cs="Arial"/>
          <w:b/>
          <w:bCs/>
          <w:kern w:val="0"/>
          <w:sz w:val="20"/>
          <w:szCs w:val="20"/>
          <w:u w:val="single"/>
          <w14:ligatures w14:val="none"/>
        </w:rPr>
        <w:t>Realizaron</w:t>
      </w:r>
      <w:r w:rsidR="00672CA9" w:rsidRPr="00AB49A4">
        <w:rPr>
          <w:rFonts w:ascii="Arial" w:eastAsia="Calibri" w:hAnsi="Arial" w:cs="Arial"/>
          <w:b/>
          <w:bCs/>
          <w:kern w:val="0"/>
          <w:sz w:val="20"/>
          <w:szCs w:val="20"/>
          <w:u w:val="single"/>
          <w14:ligatures w14:val="none"/>
        </w:rPr>
        <w:t xml:space="preserve"> observaciones</w:t>
      </w:r>
      <w:r w:rsidR="00672CA9" w:rsidRPr="00AB49A4">
        <w:rPr>
          <w:rFonts w:ascii="Arial" w:eastAsia="Calibri" w:hAnsi="Arial" w:cs="Arial"/>
          <w:b/>
          <w:bCs/>
          <w:kern w:val="0"/>
          <w:sz w:val="20"/>
          <w:szCs w:val="20"/>
          <w14:ligatures w14:val="none"/>
        </w:rPr>
        <w:t>:</w:t>
      </w:r>
    </w:p>
    <w:p w14:paraId="278550BA" w14:textId="77777777" w:rsidR="00056E46" w:rsidRPr="00AB49A4" w:rsidRDefault="00056E46" w:rsidP="00672CA9">
      <w:pPr>
        <w:spacing w:line="259" w:lineRule="auto"/>
        <w:rPr>
          <w:rFonts w:ascii="Arial" w:eastAsia="Calibri" w:hAnsi="Arial" w:cs="Arial"/>
          <w:kern w:val="0"/>
          <w:sz w:val="20"/>
          <w:szCs w:val="20"/>
          <w14:ligatures w14:val="none"/>
        </w:rPr>
      </w:pPr>
    </w:p>
    <w:tbl>
      <w:tblPr>
        <w:tblStyle w:val="Tablaconcuadrcula"/>
        <w:tblW w:w="0" w:type="auto"/>
        <w:tblInd w:w="720" w:type="dxa"/>
        <w:tblLook w:val="04A0" w:firstRow="1" w:lastRow="0" w:firstColumn="1" w:lastColumn="0" w:noHBand="0" w:noVBand="1"/>
      </w:tblPr>
      <w:tblGrid>
        <w:gridCol w:w="4804"/>
        <w:gridCol w:w="2551"/>
      </w:tblGrid>
      <w:tr w:rsidR="00CD6981" w:rsidRPr="00AB49A4" w14:paraId="173BD4F7" w14:textId="2A4B0C09" w:rsidTr="00215803">
        <w:tc>
          <w:tcPr>
            <w:tcW w:w="4804" w:type="dxa"/>
          </w:tcPr>
          <w:p w14:paraId="63218017" w14:textId="0B2467BE" w:rsidR="00CD6981" w:rsidRPr="00AB49A4" w:rsidRDefault="00CD6981" w:rsidP="001A49F6">
            <w:pPr>
              <w:spacing w:line="360" w:lineRule="auto"/>
              <w:contextualSpacing/>
              <w:rPr>
                <w:rFonts w:ascii="Arial" w:eastAsia="Calibri" w:hAnsi="Arial" w:cs="Arial"/>
                <w:b/>
                <w:bCs/>
                <w:sz w:val="20"/>
                <w:szCs w:val="20"/>
              </w:rPr>
            </w:pPr>
            <w:r w:rsidRPr="00AB49A4">
              <w:rPr>
                <w:rFonts w:ascii="Arial" w:eastAsia="Calibri" w:hAnsi="Arial" w:cs="Arial"/>
                <w:b/>
                <w:bCs/>
                <w:sz w:val="20"/>
                <w:szCs w:val="20"/>
              </w:rPr>
              <w:t>Vida Plena</w:t>
            </w:r>
            <w:r w:rsidR="00D4092A" w:rsidRPr="00AB49A4">
              <w:rPr>
                <w:rFonts w:ascii="Arial" w:eastAsia="Calibri" w:hAnsi="Arial" w:cs="Arial"/>
                <w:b/>
                <w:bCs/>
                <w:sz w:val="20"/>
                <w:szCs w:val="20"/>
              </w:rPr>
              <w:t xml:space="preserve"> </w:t>
            </w:r>
            <w:r w:rsidRPr="00AB49A4">
              <w:rPr>
                <w:rFonts w:ascii="Arial" w:eastAsia="Calibri" w:hAnsi="Arial" w:cs="Arial"/>
                <w:b/>
                <w:bCs/>
                <w:sz w:val="20"/>
                <w:szCs w:val="20"/>
              </w:rPr>
              <w:t xml:space="preserve">OPC </w:t>
            </w:r>
            <w:r w:rsidR="00AE0E92" w:rsidRPr="00AB49A4">
              <w:rPr>
                <w:rFonts w:ascii="Arial" w:eastAsia="Calibri" w:hAnsi="Arial" w:cs="Arial"/>
                <w:b/>
                <w:bCs/>
                <w:sz w:val="20"/>
                <w:szCs w:val="20"/>
              </w:rPr>
              <w:t xml:space="preserve">/ </w:t>
            </w:r>
            <w:r w:rsidR="00740001" w:rsidRPr="00AB49A4">
              <w:rPr>
                <w:rFonts w:ascii="Arial" w:eastAsia="Calibri" w:hAnsi="Arial" w:cs="Arial"/>
                <w:b/>
                <w:bCs/>
                <w:sz w:val="20"/>
                <w:szCs w:val="20"/>
              </w:rPr>
              <w:t>GG-007-2025 13/01/2025</w:t>
            </w:r>
          </w:p>
        </w:tc>
        <w:tc>
          <w:tcPr>
            <w:tcW w:w="2551" w:type="dxa"/>
          </w:tcPr>
          <w:p w14:paraId="1C1987C5" w14:textId="27743F1E" w:rsidR="00CD6981" w:rsidRPr="00AB49A4" w:rsidRDefault="005E68BC" w:rsidP="00215803">
            <w:pPr>
              <w:spacing w:line="360" w:lineRule="auto"/>
              <w:contextualSpacing/>
              <w:rPr>
                <w:rFonts w:ascii="Arial" w:eastAsia="Calibri" w:hAnsi="Arial" w:cs="Arial"/>
                <w:b/>
                <w:bCs/>
                <w:sz w:val="20"/>
                <w:szCs w:val="20"/>
              </w:rPr>
            </w:pPr>
            <w:r>
              <w:rPr>
                <w:rFonts w:ascii="Arial" w:eastAsia="Calibri" w:hAnsi="Arial" w:cs="Arial"/>
                <w:b/>
                <w:bCs/>
                <w:kern w:val="2"/>
                <w:sz w:val="20"/>
                <w:szCs w:val="20"/>
                <w14:ligatures w14:val="standardContextual"/>
              </w:rPr>
              <w:object w:dxaOrig="1814" w:dyaOrig="1397" w14:anchorId="3E7BC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69.8pt" o:ole="">
                  <v:imagedata r:id="rId11" o:title=""/>
                </v:shape>
                <o:OLEObject Type="Embed" ProgID="AcroExch.Document.DC" ShapeID="_x0000_i1025" DrawAspect="Icon" ObjectID="_1809500360" r:id="rId12"/>
              </w:object>
            </w:r>
          </w:p>
        </w:tc>
      </w:tr>
      <w:tr w:rsidR="00CD6981" w:rsidRPr="00AB49A4" w14:paraId="73052F56" w14:textId="1A7A4385" w:rsidTr="00215803">
        <w:tc>
          <w:tcPr>
            <w:tcW w:w="4804" w:type="dxa"/>
          </w:tcPr>
          <w:p w14:paraId="6D65BCB4" w14:textId="7553D9C6" w:rsidR="00CD6981" w:rsidRPr="00AB49A4" w:rsidRDefault="00CD6981" w:rsidP="001A49F6">
            <w:pPr>
              <w:spacing w:line="360" w:lineRule="auto"/>
              <w:contextualSpacing/>
              <w:rPr>
                <w:rFonts w:ascii="Arial" w:eastAsia="Calibri" w:hAnsi="Arial" w:cs="Arial"/>
                <w:b/>
                <w:bCs/>
                <w:sz w:val="20"/>
                <w:szCs w:val="20"/>
              </w:rPr>
            </w:pPr>
            <w:r w:rsidRPr="00AB49A4">
              <w:rPr>
                <w:rFonts w:ascii="Arial" w:eastAsia="Calibri" w:hAnsi="Arial" w:cs="Arial"/>
                <w:b/>
                <w:bCs/>
                <w:sz w:val="20"/>
                <w:szCs w:val="20"/>
              </w:rPr>
              <w:t>Popular OPC</w:t>
            </w:r>
            <w:r w:rsidR="001C20BC" w:rsidRPr="00AB49A4">
              <w:rPr>
                <w:rFonts w:ascii="Arial" w:eastAsia="Calibri" w:hAnsi="Arial" w:cs="Arial"/>
                <w:b/>
                <w:bCs/>
                <w:sz w:val="20"/>
                <w:szCs w:val="20"/>
              </w:rPr>
              <w:t xml:space="preserve"> / PEN-0018-2025</w:t>
            </w:r>
            <w:r w:rsidR="00637577" w:rsidRPr="00AB49A4">
              <w:rPr>
                <w:rFonts w:ascii="Arial" w:eastAsia="Calibri" w:hAnsi="Arial" w:cs="Arial"/>
                <w:b/>
                <w:bCs/>
                <w:sz w:val="20"/>
                <w:szCs w:val="20"/>
              </w:rPr>
              <w:t xml:space="preserve"> </w:t>
            </w:r>
            <w:r w:rsidR="0078172C" w:rsidRPr="00AB49A4">
              <w:rPr>
                <w:rFonts w:ascii="Arial" w:eastAsia="Calibri" w:hAnsi="Arial" w:cs="Arial"/>
                <w:b/>
                <w:bCs/>
                <w:sz w:val="20"/>
                <w:szCs w:val="20"/>
              </w:rPr>
              <w:t>07/01/2025</w:t>
            </w:r>
          </w:p>
        </w:tc>
        <w:tc>
          <w:tcPr>
            <w:tcW w:w="2551" w:type="dxa"/>
          </w:tcPr>
          <w:p w14:paraId="5F7D0C92" w14:textId="334A410D" w:rsidR="00CD6981" w:rsidRPr="00AB49A4" w:rsidRDefault="00D10744" w:rsidP="00215803">
            <w:pPr>
              <w:spacing w:line="360" w:lineRule="auto"/>
              <w:contextualSpacing/>
              <w:rPr>
                <w:rFonts w:ascii="Arial" w:eastAsia="Calibri" w:hAnsi="Arial" w:cs="Arial"/>
                <w:b/>
                <w:bCs/>
                <w:sz w:val="20"/>
                <w:szCs w:val="20"/>
              </w:rPr>
            </w:pPr>
            <w:r>
              <w:rPr>
                <w:rFonts w:ascii="Arial" w:eastAsia="Calibri" w:hAnsi="Arial" w:cs="Arial"/>
                <w:b/>
                <w:bCs/>
                <w:kern w:val="2"/>
                <w:sz w:val="20"/>
                <w:szCs w:val="20"/>
                <w14:ligatures w14:val="standardContextual"/>
              </w:rPr>
              <w:object w:dxaOrig="1536" w:dyaOrig="998" w14:anchorId="42AE51CF">
                <v:shape id="_x0000_i1026" type="#_x0000_t75" style="width:76.5pt;height:50.25pt" o:ole="">
                  <v:imagedata r:id="rId13" o:title=""/>
                </v:shape>
                <o:OLEObject Type="Embed" ProgID="AcroExch.Document.DC" ShapeID="_x0000_i1026" DrawAspect="Icon" ObjectID="_1809500361" r:id="rId14"/>
              </w:object>
            </w:r>
          </w:p>
        </w:tc>
      </w:tr>
      <w:tr w:rsidR="0028692C" w:rsidRPr="00AB49A4" w14:paraId="5D6AAC37" w14:textId="77777777" w:rsidTr="00215803">
        <w:tc>
          <w:tcPr>
            <w:tcW w:w="4804" w:type="dxa"/>
          </w:tcPr>
          <w:p w14:paraId="35CA2757" w14:textId="793FFD58" w:rsidR="0028692C" w:rsidRPr="00AB49A4" w:rsidRDefault="0028692C" w:rsidP="001A49F6">
            <w:pPr>
              <w:spacing w:line="360" w:lineRule="auto"/>
              <w:contextualSpacing/>
              <w:rPr>
                <w:rFonts w:ascii="Arial" w:eastAsia="Calibri" w:hAnsi="Arial" w:cs="Arial"/>
                <w:b/>
                <w:bCs/>
                <w:sz w:val="20"/>
                <w:szCs w:val="20"/>
                <w:lang w:val="en-US"/>
              </w:rPr>
            </w:pPr>
            <w:r w:rsidRPr="00AB49A4">
              <w:rPr>
                <w:rFonts w:ascii="Arial" w:hAnsi="Arial" w:cs="Arial"/>
                <w:b/>
                <w:bCs/>
                <w:sz w:val="20"/>
                <w:szCs w:val="20"/>
              </w:rPr>
              <w:t>BCR OPC / BCROPC-004-25  08/01/2025</w:t>
            </w:r>
          </w:p>
        </w:tc>
        <w:tc>
          <w:tcPr>
            <w:tcW w:w="2551" w:type="dxa"/>
          </w:tcPr>
          <w:p w14:paraId="275405AE" w14:textId="3B18B316" w:rsidR="0028692C" w:rsidRPr="00AB49A4" w:rsidRDefault="007A3913" w:rsidP="001A49F6">
            <w:pPr>
              <w:pStyle w:val="Default"/>
              <w:spacing w:line="360" w:lineRule="auto"/>
              <w:rPr>
                <w:b/>
                <w:bCs/>
                <w:sz w:val="20"/>
                <w:szCs w:val="20"/>
              </w:rPr>
            </w:pPr>
            <w:r>
              <w:rPr>
                <w:b/>
                <w:bCs/>
                <w:sz w:val="20"/>
                <w:szCs w:val="20"/>
                <w14:ligatures w14:val="standardContextual"/>
              </w:rPr>
              <w:object w:dxaOrig="1536" w:dyaOrig="998" w14:anchorId="3D9B37B2">
                <v:shape id="_x0000_i1027" type="#_x0000_t75" style="width:76.5pt;height:50.25pt" o:ole="">
                  <v:imagedata r:id="rId15" o:title=""/>
                </v:shape>
                <o:OLEObject Type="Embed" ProgID="AcroExch.Document.DC" ShapeID="_x0000_i1027" DrawAspect="Icon" ObjectID="_1809500362" r:id="rId16"/>
              </w:object>
            </w:r>
          </w:p>
        </w:tc>
      </w:tr>
      <w:tr w:rsidR="009028BF" w:rsidRPr="003B0388" w14:paraId="2D27B0A5" w14:textId="77777777" w:rsidTr="00215803">
        <w:tc>
          <w:tcPr>
            <w:tcW w:w="4804" w:type="dxa"/>
          </w:tcPr>
          <w:p w14:paraId="73E50038" w14:textId="27A60595" w:rsidR="009028BF" w:rsidRPr="00AB49A4" w:rsidRDefault="009028BF" w:rsidP="001A49F6">
            <w:pPr>
              <w:spacing w:line="360" w:lineRule="auto"/>
              <w:contextualSpacing/>
              <w:rPr>
                <w:rFonts w:ascii="Arial" w:eastAsia="Calibri" w:hAnsi="Arial" w:cs="Arial"/>
                <w:b/>
                <w:bCs/>
                <w:sz w:val="20"/>
                <w:szCs w:val="20"/>
                <w:lang w:val="en-US"/>
              </w:rPr>
            </w:pPr>
            <w:r w:rsidRPr="00AB49A4">
              <w:rPr>
                <w:rFonts w:ascii="Arial" w:eastAsia="Calibri" w:hAnsi="Arial" w:cs="Arial"/>
                <w:b/>
                <w:bCs/>
                <w:sz w:val="20"/>
                <w:szCs w:val="20"/>
                <w:lang w:val="en-US"/>
              </w:rPr>
              <w:t xml:space="preserve">BN Vital OPC / </w:t>
            </w:r>
            <w:r w:rsidR="00FC5F0C" w:rsidRPr="00AB49A4">
              <w:rPr>
                <w:rFonts w:ascii="Arial" w:eastAsia="Calibri" w:hAnsi="Arial" w:cs="Arial"/>
                <w:b/>
                <w:bCs/>
                <w:sz w:val="20"/>
                <w:szCs w:val="20"/>
                <w:lang w:val="en-US"/>
              </w:rPr>
              <w:t>BNVital-GG-024-2025 10/01/2024</w:t>
            </w:r>
          </w:p>
        </w:tc>
        <w:tc>
          <w:tcPr>
            <w:tcW w:w="2551" w:type="dxa"/>
          </w:tcPr>
          <w:p w14:paraId="33465B42" w14:textId="0A796F1F" w:rsidR="009028BF" w:rsidRPr="00AB49A4" w:rsidRDefault="00F23E0A" w:rsidP="001A49F6">
            <w:pPr>
              <w:spacing w:line="360" w:lineRule="auto"/>
              <w:contextualSpacing/>
              <w:rPr>
                <w:rFonts w:ascii="Arial" w:eastAsia="Calibri" w:hAnsi="Arial" w:cs="Arial"/>
                <w:b/>
                <w:bCs/>
                <w:sz w:val="20"/>
                <w:szCs w:val="20"/>
                <w:lang w:val="en-US"/>
              </w:rPr>
            </w:pPr>
            <w:r>
              <w:rPr>
                <w:rFonts w:ascii="Arial" w:eastAsia="Calibri" w:hAnsi="Arial" w:cs="Arial"/>
                <w:b/>
                <w:bCs/>
                <w:kern w:val="2"/>
                <w:sz w:val="20"/>
                <w:szCs w:val="20"/>
                <w:lang w:val="en-US"/>
                <w14:ligatures w14:val="standardContextual"/>
              </w:rPr>
              <w:object w:dxaOrig="1536" w:dyaOrig="998" w14:anchorId="6FA8A3CB">
                <v:shape id="_x0000_i1028" type="#_x0000_t75" style="width:76.5pt;height:50.25pt" o:ole="">
                  <v:imagedata r:id="rId17" o:title=""/>
                </v:shape>
                <o:OLEObject Type="Embed" ProgID="AcroExch.Document.DC" ShapeID="_x0000_i1028" DrawAspect="Icon" ObjectID="_1809500363" r:id="rId18"/>
              </w:object>
            </w:r>
          </w:p>
        </w:tc>
      </w:tr>
      <w:tr w:rsidR="00AB49A4" w:rsidRPr="00AB49A4" w14:paraId="55497482" w14:textId="77777777" w:rsidTr="00215803">
        <w:tc>
          <w:tcPr>
            <w:tcW w:w="4804" w:type="dxa"/>
          </w:tcPr>
          <w:p w14:paraId="6B68B42F" w14:textId="6A996ED3" w:rsidR="00AB49A4" w:rsidRPr="00AB49A4" w:rsidRDefault="00AB49A4" w:rsidP="001A49F6">
            <w:pPr>
              <w:autoSpaceDE w:val="0"/>
              <w:autoSpaceDN w:val="0"/>
              <w:adjustRightInd w:val="0"/>
              <w:spacing w:line="360" w:lineRule="auto"/>
              <w:jc w:val="both"/>
              <w:rPr>
                <w:rFonts w:ascii="Arial" w:eastAsia="Calibri" w:hAnsi="Arial" w:cs="Arial"/>
                <w:b/>
                <w:bCs/>
                <w:sz w:val="20"/>
                <w:szCs w:val="20"/>
              </w:rPr>
            </w:pPr>
            <w:r w:rsidRPr="00AB49A4">
              <w:rPr>
                <w:rFonts w:ascii="Arial" w:eastAsia="Calibri" w:hAnsi="Arial" w:cs="Arial"/>
                <w:b/>
                <w:bCs/>
                <w:sz w:val="20"/>
                <w:szCs w:val="20"/>
              </w:rPr>
              <w:t>CCSS OPC / GG-017-2025 15/01/2025</w:t>
            </w:r>
          </w:p>
        </w:tc>
        <w:bookmarkStart w:id="0" w:name="_MON_1799819979"/>
        <w:bookmarkEnd w:id="0"/>
        <w:tc>
          <w:tcPr>
            <w:tcW w:w="2551" w:type="dxa"/>
          </w:tcPr>
          <w:p w14:paraId="2AD555CD" w14:textId="38EA67A7" w:rsidR="00AB49A4" w:rsidRPr="00AB49A4" w:rsidRDefault="00F55520" w:rsidP="001A49F6">
            <w:pPr>
              <w:pStyle w:val="Default"/>
              <w:spacing w:line="360" w:lineRule="auto"/>
              <w:rPr>
                <w:b/>
                <w:bCs/>
                <w:sz w:val="20"/>
                <w:szCs w:val="20"/>
                <w:lang w:val="en-US"/>
              </w:rPr>
            </w:pPr>
            <w:r>
              <w:rPr>
                <w:b/>
                <w:bCs/>
                <w:sz w:val="20"/>
                <w:szCs w:val="20"/>
                <w:lang w:val="en-US"/>
                <w14:ligatures w14:val="standardContextual"/>
              </w:rPr>
              <w:object w:dxaOrig="1536" w:dyaOrig="998" w14:anchorId="13974C09">
                <v:shape id="_x0000_i1029" type="#_x0000_t75" style="width:76.5pt;height:50.25pt" o:ole="">
                  <v:imagedata r:id="rId19" o:title=""/>
                </v:shape>
                <o:OLEObject Type="Embed" ProgID="Word.Document.12" ShapeID="_x0000_i1029" DrawAspect="Icon" ObjectID="_1809500364" r:id="rId20">
                  <o:FieldCodes>\s</o:FieldCodes>
                </o:OLEObject>
              </w:object>
            </w:r>
          </w:p>
        </w:tc>
      </w:tr>
    </w:tbl>
    <w:p w14:paraId="15955741" w14:textId="77777777" w:rsidR="00CD6981" w:rsidRPr="00AB49A4" w:rsidRDefault="00CD6981" w:rsidP="00672CA9">
      <w:pPr>
        <w:spacing w:line="259" w:lineRule="auto"/>
        <w:rPr>
          <w:rFonts w:ascii="Arial" w:eastAsia="Calibri" w:hAnsi="Arial" w:cs="Arial"/>
          <w:b/>
          <w:bCs/>
          <w:kern w:val="0"/>
          <w:sz w:val="20"/>
          <w:szCs w:val="20"/>
          <w:lang w:val="en-US"/>
          <w14:ligatures w14:val="none"/>
        </w:rPr>
      </w:pPr>
    </w:p>
    <w:p w14:paraId="323E4F40" w14:textId="631268B2" w:rsidR="00672CA9" w:rsidRDefault="0060730A" w:rsidP="00672CA9">
      <w:pPr>
        <w:spacing w:line="259" w:lineRule="auto"/>
        <w:rPr>
          <w:rFonts w:ascii="Arial" w:eastAsia="Calibri" w:hAnsi="Arial" w:cs="Arial"/>
          <w:b/>
          <w:bCs/>
          <w:kern w:val="0"/>
          <w:sz w:val="20"/>
          <w:szCs w:val="20"/>
          <w14:ligatures w14:val="none"/>
        </w:rPr>
      </w:pPr>
      <w:r w:rsidRPr="00AB49A4">
        <w:rPr>
          <w:rFonts w:ascii="Arial" w:eastAsia="Calibri" w:hAnsi="Arial" w:cs="Arial"/>
          <w:b/>
          <w:bCs/>
          <w:kern w:val="0"/>
          <w:sz w:val="20"/>
          <w:szCs w:val="20"/>
          <w:u w:val="single"/>
          <w14:ligatures w14:val="none"/>
        </w:rPr>
        <w:t>No tienen observaciones</w:t>
      </w:r>
      <w:r w:rsidR="00672CA9" w:rsidRPr="00AB49A4">
        <w:rPr>
          <w:rFonts w:ascii="Arial" w:eastAsia="Calibri" w:hAnsi="Arial" w:cs="Arial"/>
          <w:b/>
          <w:bCs/>
          <w:kern w:val="0"/>
          <w:sz w:val="20"/>
          <w:szCs w:val="20"/>
          <w14:ligatures w14:val="none"/>
        </w:rPr>
        <w:t>:</w:t>
      </w:r>
    </w:p>
    <w:p w14:paraId="559F898B" w14:textId="77777777" w:rsidR="00056E46" w:rsidRPr="00AB49A4" w:rsidRDefault="00056E46" w:rsidP="00672CA9">
      <w:pPr>
        <w:spacing w:line="259" w:lineRule="auto"/>
        <w:rPr>
          <w:rFonts w:ascii="Arial" w:eastAsia="Calibri" w:hAnsi="Arial" w:cs="Arial"/>
          <w:b/>
          <w:bCs/>
          <w:kern w:val="0"/>
          <w:sz w:val="20"/>
          <w:szCs w:val="20"/>
          <w14:ligatures w14:val="none"/>
        </w:rPr>
      </w:pPr>
    </w:p>
    <w:tbl>
      <w:tblPr>
        <w:tblStyle w:val="Tablaconcuadrcula"/>
        <w:tblW w:w="0" w:type="auto"/>
        <w:tblInd w:w="720" w:type="dxa"/>
        <w:tblLook w:val="04A0" w:firstRow="1" w:lastRow="0" w:firstColumn="1" w:lastColumn="0" w:noHBand="0" w:noVBand="1"/>
      </w:tblPr>
      <w:tblGrid>
        <w:gridCol w:w="4804"/>
        <w:gridCol w:w="2551"/>
      </w:tblGrid>
      <w:tr w:rsidR="00C874B9" w:rsidRPr="00AB49A4" w14:paraId="0FF8FDB2" w14:textId="77777777" w:rsidTr="00F35220">
        <w:tc>
          <w:tcPr>
            <w:tcW w:w="4804" w:type="dxa"/>
          </w:tcPr>
          <w:p w14:paraId="05D770E1" w14:textId="457E84D0" w:rsidR="00C874B9" w:rsidRPr="00AB49A4" w:rsidRDefault="00C874B9" w:rsidP="001A49F6">
            <w:pPr>
              <w:spacing w:line="360" w:lineRule="auto"/>
              <w:contextualSpacing/>
              <w:rPr>
                <w:rFonts w:ascii="Arial" w:eastAsia="Calibri" w:hAnsi="Arial" w:cs="Arial"/>
                <w:b/>
                <w:bCs/>
                <w:sz w:val="20"/>
                <w:szCs w:val="20"/>
              </w:rPr>
            </w:pPr>
            <w:r w:rsidRPr="00AB49A4">
              <w:rPr>
                <w:rFonts w:ascii="Arial" w:eastAsia="Calibri" w:hAnsi="Arial" w:cs="Arial"/>
                <w:b/>
                <w:bCs/>
                <w:sz w:val="20"/>
                <w:szCs w:val="20"/>
              </w:rPr>
              <w:t xml:space="preserve">BAC OPC / BAC-OPC-013-2025  09/01/2025  </w:t>
            </w:r>
          </w:p>
        </w:tc>
        <w:tc>
          <w:tcPr>
            <w:tcW w:w="2551" w:type="dxa"/>
          </w:tcPr>
          <w:p w14:paraId="3512093B" w14:textId="7B97A805" w:rsidR="00C874B9" w:rsidRPr="00AB49A4" w:rsidRDefault="00F35220" w:rsidP="001A49F6">
            <w:pPr>
              <w:pStyle w:val="Default"/>
              <w:spacing w:line="360" w:lineRule="auto"/>
              <w:rPr>
                <w:b/>
                <w:bCs/>
                <w:sz w:val="20"/>
                <w:szCs w:val="20"/>
              </w:rPr>
            </w:pPr>
            <w:r>
              <w:rPr>
                <w:b/>
                <w:bCs/>
                <w:sz w:val="20"/>
                <w:szCs w:val="20"/>
                <w14:ligatures w14:val="standardContextual"/>
              </w:rPr>
              <w:object w:dxaOrig="1536" w:dyaOrig="998" w14:anchorId="0415B6A4">
                <v:shape id="_x0000_i1030" type="#_x0000_t75" style="width:76.5pt;height:50.25pt" o:ole="">
                  <v:imagedata r:id="rId21" o:title=""/>
                </v:shape>
                <o:OLEObject Type="Embed" ProgID="AcroExch.Document.DC" ShapeID="_x0000_i1030" DrawAspect="Icon" ObjectID="_1809500365" r:id="rId22"/>
              </w:object>
            </w:r>
          </w:p>
        </w:tc>
      </w:tr>
      <w:tr w:rsidR="00C05326" w:rsidRPr="00AB49A4" w14:paraId="27A7991A" w14:textId="77777777" w:rsidTr="00F35220">
        <w:tc>
          <w:tcPr>
            <w:tcW w:w="4804" w:type="dxa"/>
          </w:tcPr>
          <w:p w14:paraId="41068FBC" w14:textId="73BA1D5B" w:rsidR="00C05326" w:rsidRPr="00AB49A4" w:rsidRDefault="00C05326" w:rsidP="001A49F6">
            <w:pPr>
              <w:spacing w:line="360" w:lineRule="auto"/>
              <w:contextualSpacing/>
              <w:rPr>
                <w:rFonts w:ascii="Arial" w:eastAsia="Calibri" w:hAnsi="Arial" w:cs="Arial"/>
                <w:b/>
                <w:bCs/>
                <w:sz w:val="20"/>
                <w:szCs w:val="20"/>
              </w:rPr>
            </w:pPr>
            <w:r w:rsidRPr="00AB49A4">
              <w:rPr>
                <w:rFonts w:ascii="Arial" w:eastAsia="Calibri" w:hAnsi="Arial" w:cs="Arial"/>
                <w:b/>
                <w:bCs/>
                <w:sz w:val="20"/>
                <w:szCs w:val="20"/>
              </w:rPr>
              <w:t xml:space="preserve">ACOP </w:t>
            </w:r>
            <w:r w:rsidR="00840016" w:rsidRPr="00AB49A4">
              <w:rPr>
                <w:rFonts w:ascii="Arial" w:eastAsia="Calibri" w:hAnsi="Arial" w:cs="Arial"/>
                <w:b/>
                <w:bCs/>
                <w:sz w:val="20"/>
                <w:szCs w:val="20"/>
              </w:rPr>
              <w:t>/  ACOP-003-2025 09/01/2025</w:t>
            </w:r>
          </w:p>
        </w:tc>
        <w:tc>
          <w:tcPr>
            <w:tcW w:w="2551" w:type="dxa"/>
          </w:tcPr>
          <w:p w14:paraId="33C50041" w14:textId="47FFDF76" w:rsidR="00C05326" w:rsidRPr="00AB49A4" w:rsidRDefault="00F35220" w:rsidP="001A49F6">
            <w:pPr>
              <w:pStyle w:val="Default"/>
              <w:spacing w:line="360" w:lineRule="auto"/>
              <w:rPr>
                <w:b/>
                <w:bCs/>
                <w:sz w:val="20"/>
                <w:szCs w:val="20"/>
              </w:rPr>
            </w:pPr>
            <w:r>
              <w:rPr>
                <w:b/>
                <w:bCs/>
                <w:sz w:val="20"/>
                <w:szCs w:val="20"/>
                <w14:ligatures w14:val="standardContextual"/>
              </w:rPr>
              <w:object w:dxaOrig="1536" w:dyaOrig="998" w14:anchorId="3E2C8EC7">
                <v:shape id="_x0000_i1031" type="#_x0000_t75" style="width:76.5pt;height:50.25pt" o:ole="">
                  <v:imagedata r:id="rId23" o:title=""/>
                </v:shape>
                <o:OLEObject Type="Embed" ProgID="AcroExch.Document.DC" ShapeID="_x0000_i1031" DrawAspect="Icon" ObjectID="_1809500366" r:id="rId24"/>
              </w:object>
            </w:r>
          </w:p>
        </w:tc>
      </w:tr>
    </w:tbl>
    <w:p w14:paraId="64ED7C3C" w14:textId="77777777" w:rsidR="00672CA9" w:rsidRDefault="00672CA9" w:rsidP="00672CA9">
      <w:pPr>
        <w:spacing w:line="259" w:lineRule="auto"/>
        <w:ind w:left="720"/>
        <w:contextualSpacing/>
        <w:rPr>
          <w:rFonts w:ascii="Arial" w:eastAsia="Calibri" w:hAnsi="Arial" w:cs="Arial"/>
          <w:b/>
          <w:bCs/>
          <w:kern w:val="0"/>
          <w:sz w:val="20"/>
          <w:szCs w:val="20"/>
          <w:lang w:val="en-US"/>
          <w14:ligatures w14:val="none"/>
        </w:rPr>
      </w:pPr>
    </w:p>
    <w:p w14:paraId="464C3D36"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p w14:paraId="0B1CEF6A"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p w14:paraId="180032B1"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p w14:paraId="14E926DE"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p w14:paraId="32F3D3D5"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p w14:paraId="11416CD9" w14:textId="77777777" w:rsidR="00610670" w:rsidRDefault="00610670" w:rsidP="00672CA9">
      <w:pPr>
        <w:spacing w:line="259" w:lineRule="auto"/>
        <w:ind w:left="720"/>
        <w:contextualSpacing/>
        <w:rPr>
          <w:rFonts w:ascii="Arial" w:eastAsia="Calibri" w:hAnsi="Arial" w:cs="Arial"/>
          <w:b/>
          <w:bCs/>
          <w:kern w:val="0"/>
          <w:sz w:val="20"/>
          <w:szCs w:val="20"/>
          <w:lang w:val="en-US"/>
          <w14:ligatures w14:val="none"/>
        </w:rPr>
      </w:pPr>
    </w:p>
    <w:tbl>
      <w:tblPr>
        <w:tblStyle w:val="Tablaconcuadrcula1"/>
        <w:tblW w:w="5000" w:type="pct"/>
        <w:tblLook w:val="04A0" w:firstRow="1" w:lastRow="0" w:firstColumn="1" w:lastColumn="0" w:noHBand="0" w:noVBand="1"/>
      </w:tblPr>
      <w:tblGrid>
        <w:gridCol w:w="3847"/>
        <w:gridCol w:w="3847"/>
        <w:gridCol w:w="3847"/>
        <w:gridCol w:w="3847"/>
      </w:tblGrid>
      <w:tr w:rsidR="0069158F" w:rsidRPr="00672CA9" w14:paraId="295D0072" w14:textId="77777777" w:rsidTr="00911978">
        <w:trPr>
          <w:trHeight w:val="849"/>
          <w:tblHeader/>
        </w:trPr>
        <w:tc>
          <w:tcPr>
            <w:tcW w:w="1250" w:type="pct"/>
            <w:shd w:val="clear" w:color="auto" w:fill="156082" w:themeFill="accent1"/>
          </w:tcPr>
          <w:p w14:paraId="13BD45D5" w14:textId="77777777" w:rsidR="0069158F" w:rsidRPr="00967E91" w:rsidRDefault="0069158F" w:rsidP="003C24C8">
            <w:pPr>
              <w:tabs>
                <w:tab w:val="center" w:pos="4252"/>
                <w:tab w:val="right" w:pos="8504"/>
              </w:tabs>
              <w:jc w:val="center"/>
              <w:rPr>
                <w:rFonts w:ascii="Calibri" w:eastAsia="Calibri" w:hAnsi="Calibri" w:cs="Calibri"/>
                <w:b/>
                <w:bCs/>
                <w:iCs/>
                <w:color w:val="E8E8E8" w:themeColor="background2"/>
                <w:lang w:val="es-ES"/>
              </w:rPr>
            </w:pPr>
            <w:r w:rsidRPr="00967E91">
              <w:rPr>
                <w:rFonts w:ascii="Calibri" w:eastAsia="Calibri" w:hAnsi="Calibri" w:cs="Calibri"/>
                <w:b/>
                <w:bCs/>
                <w:iCs/>
                <w:color w:val="E8E8E8" w:themeColor="background2"/>
                <w:lang w:val="es-ES"/>
              </w:rPr>
              <w:t>TEXTO CONSULTADO</w:t>
            </w:r>
          </w:p>
        </w:tc>
        <w:tc>
          <w:tcPr>
            <w:tcW w:w="1250" w:type="pct"/>
            <w:shd w:val="clear" w:color="auto" w:fill="156082" w:themeFill="accent1"/>
          </w:tcPr>
          <w:p w14:paraId="5F2CAEF4" w14:textId="49C0DD94" w:rsidR="0069158F" w:rsidRPr="00967E91" w:rsidRDefault="0069158F" w:rsidP="003C24C8">
            <w:pPr>
              <w:tabs>
                <w:tab w:val="center" w:pos="4252"/>
                <w:tab w:val="right" w:pos="8504"/>
              </w:tabs>
              <w:jc w:val="center"/>
              <w:rPr>
                <w:rFonts w:ascii="Calibri" w:eastAsia="Calibri" w:hAnsi="Calibri" w:cs="Calibri"/>
                <w:b/>
                <w:bCs/>
                <w:iCs/>
                <w:color w:val="E8E8E8" w:themeColor="background2"/>
                <w:lang w:val="es-ES"/>
              </w:rPr>
            </w:pPr>
            <w:r w:rsidRPr="00967E91">
              <w:rPr>
                <w:rFonts w:ascii="Calibri" w:eastAsia="Calibri" w:hAnsi="Calibri" w:cs="Calibri"/>
                <w:b/>
                <w:bCs/>
                <w:iCs/>
                <w:color w:val="E8E8E8" w:themeColor="background2"/>
                <w:lang w:val="es-ES"/>
              </w:rPr>
              <w:t>OBSERVACIONES RECIBIDAS</w:t>
            </w:r>
          </w:p>
        </w:tc>
        <w:tc>
          <w:tcPr>
            <w:tcW w:w="1250" w:type="pct"/>
            <w:shd w:val="clear" w:color="auto" w:fill="156082" w:themeFill="accent1"/>
          </w:tcPr>
          <w:p w14:paraId="5040B7C8" w14:textId="77777777" w:rsidR="0069158F" w:rsidRPr="00967E91" w:rsidRDefault="0069158F" w:rsidP="003C24C8">
            <w:pPr>
              <w:tabs>
                <w:tab w:val="center" w:pos="4252"/>
                <w:tab w:val="right" w:pos="8504"/>
              </w:tabs>
              <w:jc w:val="center"/>
              <w:rPr>
                <w:rFonts w:ascii="Calibri" w:eastAsia="Calibri" w:hAnsi="Calibri" w:cs="Calibri"/>
                <w:b/>
                <w:bCs/>
                <w:iCs/>
                <w:color w:val="E8E8E8" w:themeColor="background2"/>
                <w:lang w:val="es-ES"/>
              </w:rPr>
            </w:pPr>
            <w:r w:rsidRPr="00967E91">
              <w:rPr>
                <w:rFonts w:ascii="Calibri" w:eastAsia="Calibri" w:hAnsi="Calibri" w:cs="Calibri"/>
                <w:b/>
                <w:bCs/>
                <w:iCs/>
                <w:color w:val="E8E8E8" w:themeColor="background2"/>
                <w:lang w:val="es-ES"/>
              </w:rPr>
              <w:t>COMENTARIOS SUPEN</w:t>
            </w:r>
          </w:p>
        </w:tc>
        <w:tc>
          <w:tcPr>
            <w:tcW w:w="1250" w:type="pct"/>
            <w:shd w:val="clear" w:color="auto" w:fill="156082" w:themeFill="accent1"/>
          </w:tcPr>
          <w:p w14:paraId="5DD75822" w14:textId="070141E3" w:rsidR="0069158F" w:rsidRPr="00967E91" w:rsidRDefault="0069158F" w:rsidP="003C24C8">
            <w:pPr>
              <w:tabs>
                <w:tab w:val="center" w:pos="4252"/>
                <w:tab w:val="right" w:pos="8504"/>
              </w:tabs>
              <w:jc w:val="center"/>
              <w:rPr>
                <w:rFonts w:ascii="Calibri" w:eastAsia="Calibri" w:hAnsi="Calibri" w:cs="Calibri"/>
                <w:b/>
                <w:bCs/>
                <w:iCs/>
                <w:color w:val="E8E8E8" w:themeColor="background2"/>
                <w:lang w:val="es-ES"/>
              </w:rPr>
            </w:pPr>
            <w:r w:rsidRPr="00967E91">
              <w:rPr>
                <w:rFonts w:ascii="Calibri" w:eastAsia="Calibri" w:hAnsi="Calibri" w:cs="Calibri"/>
                <w:b/>
                <w:bCs/>
                <w:iCs/>
                <w:color w:val="E8E8E8" w:themeColor="background2"/>
                <w:lang w:val="es-ES"/>
              </w:rPr>
              <w:t>TEXTO FINAL</w:t>
            </w:r>
          </w:p>
        </w:tc>
      </w:tr>
      <w:tr w:rsidR="00A95B08" w:rsidRPr="00610670" w14:paraId="680276CA" w14:textId="47058EA0" w:rsidTr="006633AC">
        <w:tc>
          <w:tcPr>
            <w:tcW w:w="1250" w:type="pct"/>
          </w:tcPr>
          <w:p w14:paraId="70FE54A7" w14:textId="77777777" w:rsidR="00A95B08" w:rsidRPr="00610670" w:rsidRDefault="00A95B08" w:rsidP="00A95B08">
            <w:pPr>
              <w:spacing w:line="360" w:lineRule="auto"/>
              <w:jc w:val="both"/>
              <w:rPr>
                <w:rFonts w:ascii="Times New Roman" w:eastAsia="Calibri" w:hAnsi="Times New Roman" w:cs="Times New Roman"/>
                <w:kern w:val="0"/>
                <w:sz w:val="22"/>
                <w:szCs w:val="22"/>
                <w:lang w:val="es-ES"/>
                <w14:ligatures w14:val="none"/>
              </w:rPr>
            </w:pPr>
            <w:r w:rsidRPr="00610670">
              <w:rPr>
                <w:rFonts w:ascii="Times New Roman" w:eastAsia="Calibri" w:hAnsi="Times New Roman" w:cs="Times New Roman"/>
                <w:kern w:val="0"/>
                <w:sz w:val="22"/>
                <w:szCs w:val="22"/>
                <w:lang w:val="es-ES"/>
                <w14:ligatures w14:val="none"/>
              </w:rPr>
              <w:t xml:space="preserve">Superintendencia de Pensiones, al ser las XXX horas y XXX minutos del día XXX de XXX de 2024. </w:t>
            </w:r>
          </w:p>
        </w:tc>
        <w:tc>
          <w:tcPr>
            <w:tcW w:w="1250" w:type="pct"/>
          </w:tcPr>
          <w:p w14:paraId="6046D47B" w14:textId="77777777" w:rsidR="00A95B08" w:rsidRPr="00610670" w:rsidRDefault="00A95B08" w:rsidP="00A95B08">
            <w:pPr>
              <w:spacing w:line="360" w:lineRule="auto"/>
              <w:jc w:val="both"/>
              <w:rPr>
                <w:rFonts w:ascii="Times New Roman" w:eastAsia="Calibri" w:hAnsi="Times New Roman" w:cs="Times New Roman"/>
                <w:kern w:val="0"/>
                <w:sz w:val="22"/>
                <w:szCs w:val="22"/>
                <w:lang w:val="es-ES"/>
                <w14:ligatures w14:val="none"/>
              </w:rPr>
            </w:pPr>
          </w:p>
        </w:tc>
        <w:tc>
          <w:tcPr>
            <w:tcW w:w="1250" w:type="pct"/>
          </w:tcPr>
          <w:p w14:paraId="1FA565D9" w14:textId="77777777" w:rsidR="00A95B08" w:rsidRPr="00610670" w:rsidRDefault="00A95B08" w:rsidP="00A95B08">
            <w:pPr>
              <w:spacing w:line="360" w:lineRule="auto"/>
              <w:jc w:val="both"/>
              <w:rPr>
                <w:rFonts w:ascii="Times New Roman" w:eastAsia="Calibri" w:hAnsi="Times New Roman" w:cs="Times New Roman"/>
                <w:kern w:val="0"/>
                <w:sz w:val="22"/>
                <w:szCs w:val="22"/>
                <w:lang w:val="es-ES"/>
                <w14:ligatures w14:val="none"/>
              </w:rPr>
            </w:pPr>
          </w:p>
        </w:tc>
        <w:tc>
          <w:tcPr>
            <w:tcW w:w="1250" w:type="pct"/>
          </w:tcPr>
          <w:p w14:paraId="3B3D7667" w14:textId="0CF7457A" w:rsidR="00A95B08" w:rsidRPr="00610670" w:rsidRDefault="00A95B08" w:rsidP="00A95B08">
            <w:pPr>
              <w:spacing w:line="360" w:lineRule="auto"/>
              <w:jc w:val="both"/>
              <w:rPr>
                <w:rFonts w:ascii="Times New Roman" w:eastAsia="Calibri" w:hAnsi="Times New Roman" w:cs="Times New Roman"/>
                <w:kern w:val="0"/>
                <w:sz w:val="22"/>
                <w:szCs w:val="22"/>
                <w:lang w:val="es-ES"/>
                <w14:ligatures w14:val="none"/>
              </w:rPr>
            </w:pPr>
            <w:r w:rsidRPr="00610670">
              <w:rPr>
                <w:rFonts w:ascii="Times New Roman" w:eastAsia="Calibri" w:hAnsi="Times New Roman" w:cs="Times New Roman"/>
                <w:kern w:val="0"/>
                <w:sz w:val="22"/>
                <w:szCs w:val="22"/>
                <w:lang w:val="es-ES"/>
                <w14:ligatures w14:val="none"/>
              </w:rPr>
              <w:t xml:space="preserve">Superintendencia de Pensiones, al ser las XXX horas y XXX minutos del día XXX de XXX de 2024. </w:t>
            </w:r>
          </w:p>
        </w:tc>
      </w:tr>
      <w:tr w:rsidR="00A95B08" w:rsidRPr="00610670" w14:paraId="66073E22" w14:textId="073A4716" w:rsidTr="006633AC">
        <w:tc>
          <w:tcPr>
            <w:tcW w:w="1250" w:type="pct"/>
          </w:tcPr>
          <w:p w14:paraId="4194016B" w14:textId="77777777" w:rsidR="00A95B08" w:rsidRPr="00610670" w:rsidRDefault="00A95B08" w:rsidP="00A95B08">
            <w:pPr>
              <w:autoSpaceDE w:val="0"/>
              <w:autoSpaceDN w:val="0"/>
              <w:adjustRightInd w:val="0"/>
              <w:spacing w:before="240" w:after="240" w:line="360" w:lineRule="auto"/>
              <w:jc w:val="center"/>
              <w:rPr>
                <w:rFonts w:ascii="Times New Roman" w:eastAsia="Times New Roman" w:hAnsi="Times New Roman" w:cs="Times New Roman"/>
                <w:b/>
                <w:bCs/>
                <w:color w:val="000000"/>
                <w:kern w:val="0"/>
                <w:sz w:val="22"/>
                <w:szCs w:val="22"/>
                <w:lang w:val="es-ES" w:eastAsia="es-ES"/>
                <w14:ligatures w14:val="none"/>
              </w:rPr>
            </w:pPr>
            <w:r w:rsidRPr="00610670">
              <w:rPr>
                <w:rFonts w:ascii="Times New Roman" w:eastAsia="Times New Roman" w:hAnsi="Times New Roman" w:cs="Times New Roman"/>
                <w:b/>
                <w:bCs/>
                <w:color w:val="000000"/>
                <w:kern w:val="0"/>
                <w:sz w:val="22"/>
                <w:szCs w:val="22"/>
                <w:lang w:val="es-ES" w:eastAsia="es-ES"/>
                <w14:ligatures w14:val="none"/>
              </w:rPr>
              <w:t>Considerando:</w:t>
            </w:r>
          </w:p>
        </w:tc>
        <w:tc>
          <w:tcPr>
            <w:tcW w:w="1250" w:type="pct"/>
          </w:tcPr>
          <w:p w14:paraId="3B45FE7A" w14:textId="77777777" w:rsidR="00A95B08" w:rsidRPr="00610670" w:rsidRDefault="00A95B08" w:rsidP="00A95B08">
            <w:pPr>
              <w:autoSpaceDE w:val="0"/>
              <w:autoSpaceDN w:val="0"/>
              <w:adjustRightInd w:val="0"/>
              <w:spacing w:before="240" w:after="240" w:line="360" w:lineRule="auto"/>
              <w:jc w:val="center"/>
              <w:rPr>
                <w:rFonts w:ascii="Times New Roman" w:eastAsia="Times New Roman" w:hAnsi="Times New Roman" w:cs="Times New Roman"/>
                <w:b/>
                <w:bCs/>
                <w:color w:val="000000"/>
                <w:kern w:val="0"/>
                <w:sz w:val="22"/>
                <w:szCs w:val="22"/>
                <w:lang w:val="es-ES" w:eastAsia="es-ES"/>
                <w14:ligatures w14:val="none"/>
              </w:rPr>
            </w:pPr>
          </w:p>
        </w:tc>
        <w:tc>
          <w:tcPr>
            <w:tcW w:w="1250" w:type="pct"/>
          </w:tcPr>
          <w:p w14:paraId="7FA11CE3" w14:textId="77777777" w:rsidR="00A95B08" w:rsidRPr="00610670" w:rsidRDefault="00A95B08" w:rsidP="00A95B08">
            <w:pPr>
              <w:autoSpaceDE w:val="0"/>
              <w:autoSpaceDN w:val="0"/>
              <w:adjustRightInd w:val="0"/>
              <w:spacing w:before="240" w:after="240" w:line="360" w:lineRule="auto"/>
              <w:jc w:val="center"/>
              <w:rPr>
                <w:rFonts w:ascii="Times New Roman" w:eastAsia="Times New Roman" w:hAnsi="Times New Roman" w:cs="Times New Roman"/>
                <w:b/>
                <w:bCs/>
                <w:color w:val="000000"/>
                <w:kern w:val="0"/>
                <w:sz w:val="22"/>
                <w:szCs w:val="22"/>
                <w:lang w:val="es-ES" w:eastAsia="es-ES"/>
                <w14:ligatures w14:val="none"/>
              </w:rPr>
            </w:pPr>
          </w:p>
        </w:tc>
        <w:tc>
          <w:tcPr>
            <w:tcW w:w="1250" w:type="pct"/>
          </w:tcPr>
          <w:p w14:paraId="61C5D99A" w14:textId="0531133E" w:rsidR="00A95B08" w:rsidRPr="00610670" w:rsidRDefault="00A95B08" w:rsidP="00A95B08">
            <w:pPr>
              <w:autoSpaceDE w:val="0"/>
              <w:autoSpaceDN w:val="0"/>
              <w:adjustRightInd w:val="0"/>
              <w:spacing w:before="240" w:after="240" w:line="360" w:lineRule="auto"/>
              <w:jc w:val="center"/>
              <w:rPr>
                <w:rFonts w:ascii="Times New Roman" w:eastAsia="Times New Roman" w:hAnsi="Times New Roman" w:cs="Times New Roman"/>
                <w:b/>
                <w:bCs/>
                <w:color w:val="000000"/>
                <w:kern w:val="0"/>
                <w:sz w:val="22"/>
                <w:szCs w:val="22"/>
                <w:lang w:val="es-ES" w:eastAsia="es-ES"/>
                <w14:ligatures w14:val="none"/>
              </w:rPr>
            </w:pPr>
            <w:r w:rsidRPr="00610670">
              <w:rPr>
                <w:rFonts w:ascii="Times New Roman" w:eastAsia="Times New Roman" w:hAnsi="Times New Roman" w:cs="Times New Roman"/>
                <w:b/>
                <w:bCs/>
                <w:color w:val="000000"/>
                <w:kern w:val="0"/>
                <w:sz w:val="22"/>
                <w:szCs w:val="22"/>
                <w:lang w:val="es-ES" w:eastAsia="es-ES"/>
                <w14:ligatures w14:val="none"/>
              </w:rPr>
              <w:t>Considerando:</w:t>
            </w:r>
          </w:p>
        </w:tc>
      </w:tr>
      <w:tr w:rsidR="00A95B08" w:rsidRPr="00610670" w14:paraId="56924111" w14:textId="605738FA" w:rsidTr="006633AC">
        <w:tc>
          <w:tcPr>
            <w:tcW w:w="1250" w:type="pct"/>
          </w:tcPr>
          <w:p w14:paraId="3EE79D81" w14:textId="77777777" w:rsidR="00A95B08" w:rsidRPr="00610670" w:rsidRDefault="00A95B08" w:rsidP="00A95B08">
            <w:pPr>
              <w:numPr>
                <w:ilvl w:val="0"/>
                <w:numId w:val="11"/>
              </w:num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El párrafo segundo del artículo 33 de la ley N° 7523, </w:t>
            </w:r>
            <w:r w:rsidRPr="00610670">
              <w:rPr>
                <w:rFonts w:ascii="Times New Roman" w:eastAsia="Times New Roman" w:hAnsi="Times New Roman" w:cs="Times New Roman"/>
                <w:i/>
                <w:iCs/>
                <w:color w:val="000000"/>
                <w:kern w:val="0"/>
                <w:sz w:val="22"/>
                <w:szCs w:val="22"/>
                <w:lang w:val="es-ES" w:eastAsia="es-ES"/>
                <w14:ligatures w14:val="none"/>
              </w:rPr>
              <w:t xml:space="preserve">Régimen Privado de Pensiones Complementarias </w:t>
            </w:r>
            <w:r w:rsidRPr="00610670">
              <w:rPr>
                <w:rFonts w:ascii="Times New Roman" w:eastAsia="Times New Roman" w:hAnsi="Times New Roman" w:cs="Times New Roman"/>
                <w:color w:val="000000"/>
                <w:kern w:val="0"/>
                <w:sz w:val="22"/>
                <w:szCs w:val="22"/>
                <w:lang w:val="es-ES" w:eastAsia="es-ES"/>
                <w14:ligatures w14:val="none"/>
              </w:rPr>
              <w:t xml:space="preserve">dispone que a la Superintendencia de pensiones, </w:t>
            </w:r>
            <w:r w:rsidRPr="00610670">
              <w:rPr>
                <w:rFonts w:ascii="Times New Roman" w:eastAsia="Times New Roman" w:hAnsi="Times New Roman" w:cs="Times New Roman"/>
                <w:i/>
                <w:iCs/>
                <w:color w:val="000000"/>
                <w:kern w:val="0"/>
                <w:sz w:val="22"/>
                <w:szCs w:val="22"/>
                <w:lang w:val="es-ES" w:eastAsia="es-ES"/>
                <w14:ligatures w14:val="none"/>
              </w:rPr>
              <w:lastRenderedPageBreak/>
              <w:t>regulará, supervisará y fiscalizará los planes, fondos y regímenes contemplados en esta ley, así como aquellos que le sean encomendados en virtud de otras leyes, y la actividad de las operadores de pensiones, de los entes autorizados para administrar los fondos de capitalización laboral y de las personas físicas o jurídicas que intervengan, directa o indirectamente, en los actos o contratos relacionados con las disposiciones de esta ley</w:t>
            </w:r>
            <w:r w:rsidRPr="00610670">
              <w:rPr>
                <w:rFonts w:ascii="Times New Roman" w:eastAsia="Times New Roman" w:hAnsi="Times New Roman" w:cs="Times New Roman"/>
                <w:color w:val="000000"/>
                <w:kern w:val="0"/>
                <w:sz w:val="22"/>
                <w:szCs w:val="22"/>
                <w:lang w:val="es-ES" w:eastAsia="es-ES"/>
                <w14:ligatures w14:val="none"/>
              </w:rPr>
              <w:t>.</w:t>
            </w:r>
          </w:p>
        </w:tc>
        <w:tc>
          <w:tcPr>
            <w:tcW w:w="1250" w:type="pct"/>
          </w:tcPr>
          <w:p w14:paraId="22E34DFD" w14:textId="77777777"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6784D203" w14:textId="77777777"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D31B314" w14:textId="46BBF4A9"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El párrafo segundo del artículo 33 de la ley N° 7523, </w:t>
            </w:r>
            <w:r w:rsidRPr="00610670">
              <w:rPr>
                <w:rFonts w:ascii="Times New Roman" w:eastAsia="Times New Roman" w:hAnsi="Times New Roman" w:cs="Times New Roman"/>
                <w:i/>
                <w:iCs/>
                <w:color w:val="000000"/>
                <w:kern w:val="0"/>
                <w:sz w:val="22"/>
                <w:szCs w:val="22"/>
                <w:lang w:val="es-ES" w:eastAsia="es-ES"/>
                <w14:ligatures w14:val="none"/>
              </w:rPr>
              <w:t xml:space="preserve">Régimen Privado de Pensiones Complementarias </w:t>
            </w:r>
            <w:r w:rsidRPr="00610670">
              <w:rPr>
                <w:rFonts w:ascii="Times New Roman" w:eastAsia="Times New Roman" w:hAnsi="Times New Roman" w:cs="Times New Roman"/>
                <w:color w:val="000000"/>
                <w:kern w:val="0"/>
                <w:sz w:val="22"/>
                <w:szCs w:val="22"/>
                <w:lang w:val="es-ES" w:eastAsia="es-ES"/>
                <w14:ligatures w14:val="none"/>
              </w:rPr>
              <w:t xml:space="preserve">dispone que a la Superintendencia de pensiones, </w:t>
            </w:r>
            <w:r w:rsidRPr="00610670">
              <w:rPr>
                <w:rFonts w:ascii="Times New Roman" w:eastAsia="Times New Roman" w:hAnsi="Times New Roman" w:cs="Times New Roman"/>
                <w:i/>
                <w:iCs/>
                <w:color w:val="000000"/>
                <w:kern w:val="0"/>
                <w:sz w:val="22"/>
                <w:szCs w:val="22"/>
                <w:lang w:val="es-ES" w:eastAsia="es-ES"/>
                <w14:ligatures w14:val="none"/>
              </w:rPr>
              <w:t xml:space="preserve">regulará, supervisará y </w:t>
            </w:r>
            <w:r w:rsidRPr="00610670">
              <w:rPr>
                <w:rFonts w:ascii="Times New Roman" w:eastAsia="Times New Roman" w:hAnsi="Times New Roman" w:cs="Times New Roman"/>
                <w:i/>
                <w:iCs/>
                <w:color w:val="000000"/>
                <w:kern w:val="0"/>
                <w:sz w:val="22"/>
                <w:szCs w:val="22"/>
                <w:lang w:val="es-ES" w:eastAsia="es-ES"/>
                <w14:ligatures w14:val="none"/>
              </w:rPr>
              <w:lastRenderedPageBreak/>
              <w:t>fiscalizará los planes, fondos y regímenes contemplados en esta ley, así como aquellos que le sean encomendados en virtud de otras leyes, y la actividad de las operadores de pensiones, de los entes autorizados para administrar los fondos de capitalización laboral y de las personas físicas o jurídicas que intervengan, directa o indirectamente, en los actos o contratos relacionados con las disposiciones de esta ley</w:t>
            </w:r>
            <w:r w:rsidRPr="00610670">
              <w:rPr>
                <w:rFonts w:ascii="Times New Roman" w:eastAsia="Times New Roman" w:hAnsi="Times New Roman" w:cs="Times New Roman"/>
                <w:color w:val="000000"/>
                <w:kern w:val="0"/>
                <w:sz w:val="22"/>
                <w:szCs w:val="22"/>
                <w:lang w:val="es-ES" w:eastAsia="es-ES"/>
                <w14:ligatures w14:val="none"/>
              </w:rPr>
              <w:t>.</w:t>
            </w:r>
          </w:p>
        </w:tc>
      </w:tr>
      <w:tr w:rsidR="00A95B08" w:rsidRPr="00610670" w14:paraId="2D6FE189" w14:textId="1DA41B16" w:rsidTr="006633AC">
        <w:tc>
          <w:tcPr>
            <w:tcW w:w="1250" w:type="pct"/>
          </w:tcPr>
          <w:p w14:paraId="43D715E6" w14:textId="77777777" w:rsidR="00A95B08" w:rsidRPr="00610670" w:rsidRDefault="00A95B08" w:rsidP="00A95B08">
            <w:pPr>
              <w:numPr>
                <w:ilvl w:val="0"/>
                <w:numId w:val="11"/>
              </w:num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lastRenderedPageBreak/>
              <w:t xml:space="preserve">De conformidad con el inciso f) del artículo 38 de la norma antes citada, corresponde al Superintendente de Pensiones adoptar todas las acciones necesarias para el cumplimiento efectivo de las funciones de autorización, regulación, supervisión y fiscalización establecidas en la ley y la normativa emitida por el </w:t>
            </w:r>
            <w:r w:rsidRPr="00610670">
              <w:rPr>
                <w:rFonts w:ascii="Times New Roman" w:eastAsia="Times New Roman" w:hAnsi="Times New Roman" w:cs="Times New Roman"/>
                <w:i/>
                <w:iCs/>
                <w:color w:val="000000"/>
                <w:kern w:val="0"/>
                <w:sz w:val="22"/>
                <w:szCs w:val="22"/>
                <w:lang w:val="es-ES" w:eastAsia="es-ES"/>
                <w14:ligatures w14:val="none"/>
              </w:rPr>
              <w:t>Consejo Nacional de Supervisión del Sistema Financiero</w:t>
            </w:r>
            <w:r w:rsidRPr="00610670">
              <w:rPr>
                <w:rFonts w:ascii="Times New Roman" w:eastAsia="Times New Roman" w:hAnsi="Times New Roman" w:cs="Times New Roman"/>
                <w:color w:val="000000"/>
                <w:kern w:val="0"/>
                <w:sz w:val="22"/>
                <w:szCs w:val="22"/>
                <w:lang w:val="es-ES" w:eastAsia="es-ES"/>
                <w14:ligatures w14:val="none"/>
              </w:rPr>
              <w:t xml:space="preserve"> (CONASSIF).</w:t>
            </w:r>
          </w:p>
        </w:tc>
        <w:tc>
          <w:tcPr>
            <w:tcW w:w="1250" w:type="pct"/>
          </w:tcPr>
          <w:p w14:paraId="0346ADB7" w14:textId="77777777"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645CF07" w14:textId="77777777"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3BAFEFF6" w14:textId="33A5C7A5" w:rsidR="00A95B08" w:rsidRPr="00610670" w:rsidRDefault="00A95B08" w:rsidP="00A95B08">
            <w:pPr>
              <w:autoSpaceDE w:val="0"/>
              <w:autoSpaceDN w:val="0"/>
              <w:adjustRightInd w:val="0"/>
              <w:spacing w:before="240" w:after="240" w:line="360" w:lineRule="auto"/>
              <w:ind w:left="426"/>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De conformidad con el inciso f) del artículo 38 de la norma antes citada, corresponde al Superintendente de Pensiones adoptar todas las acciones necesarias para el cumplimiento efectivo de las funciones de autorización, regulación, supervisión y fiscalización establecidas en la ley y la normativa emitida por el </w:t>
            </w:r>
            <w:r w:rsidRPr="00610670">
              <w:rPr>
                <w:rFonts w:ascii="Times New Roman" w:eastAsia="Times New Roman" w:hAnsi="Times New Roman" w:cs="Times New Roman"/>
                <w:i/>
                <w:iCs/>
                <w:color w:val="000000"/>
                <w:kern w:val="0"/>
                <w:sz w:val="22"/>
                <w:szCs w:val="22"/>
                <w:lang w:val="es-ES" w:eastAsia="es-ES"/>
                <w14:ligatures w14:val="none"/>
              </w:rPr>
              <w:t>Consejo Nacional de Supervisión del Sistema Financiero</w:t>
            </w:r>
            <w:r w:rsidRPr="00610670">
              <w:rPr>
                <w:rFonts w:ascii="Times New Roman" w:eastAsia="Times New Roman" w:hAnsi="Times New Roman" w:cs="Times New Roman"/>
                <w:color w:val="000000"/>
                <w:kern w:val="0"/>
                <w:sz w:val="22"/>
                <w:szCs w:val="22"/>
                <w:lang w:val="es-ES" w:eastAsia="es-ES"/>
                <w14:ligatures w14:val="none"/>
              </w:rPr>
              <w:t xml:space="preserve"> (CONASSIF).</w:t>
            </w:r>
          </w:p>
        </w:tc>
      </w:tr>
      <w:tr w:rsidR="00A95B08" w:rsidRPr="00610670" w14:paraId="0F265DC7" w14:textId="69120E94" w:rsidTr="006633AC">
        <w:tc>
          <w:tcPr>
            <w:tcW w:w="1250" w:type="pct"/>
          </w:tcPr>
          <w:p w14:paraId="382C1B76" w14:textId="77777777" w:rsidR="00A95B08" w:rsidRPr="00610670" w:rsidRDefault="00A95B08" w:rsidP="00A95B08">
            <w:pPr>
              <w:numPr>
                <w:ilvl w:val="0"/>
                <w:numId w:val="11"/>
              </w:num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Por su parte el inciso r) del artículo 38 arriba citado dispone que es atribución del Superintendente de Pensiones, “…</w:t>
            </w:r>
            <w:r w:rsidRPr="00610670">
              <w:rPr>
                <w:rFonts w:ascii="Times New Roman" w:eastAsia="Times New Roman" w:hAnsi="Times New Roman" w:cs="Times New Roman"/>
                <w:i/>
                <w:iCs/>
                <w:color w:val="000000"/>
                <w:kern w:val="0"/>
                <w:sz w:val="22"/>
                <w:szCs w:val="22"/>
                <w:lang w:val="es-ES" w:eastAsia="es-ES"/>
                <w14:ligatures w14:val="none"/>
              </w:rPr>
              <w:t xml:space="preserve">r) Exigir, a los entes supervisados, el suministro de la información necesaria para los afiliados y dictar normas específicas sobre el contenido, la forma y la periodicidad con que las entidades supervisadas deben proporcionar a la Superintendencia, al afiliado y al público, información sobre su situación jurídica, económica y financiera, sobre las características y los costos de sus servicios, las operaciones activas y pasivas y cualquier otra información que considere de importancia; todo con el fin de que exista información </w:t>
            </w:r>
            <w:r w:rsidRPr="00610670">
              <w:rPr>
                <w:rFonts w:ascii="Times New Roman" w:eastAsia="Times New Roman" w:hAnsi="Times New Roman" w:cs="Times New Roman"/>
                <w:i/>
                <w:iCs/>
                <w:color w:val="000000"/>
                <w:kern w:val="0"/>
                <w:sz w:val="22"/>
                <w:szCs w:val="22"/>
                <w:lang w:val="es-ES" w:eastAsia="es-ES"/>
                <w14:ligatures w14:val="none"/>
              </w:rPr>
              <w:lastRenderedPageBreak/>
              <w:t>suficiente y confiable sobre la situación de las entidades supervisadas…”.</w:t>
            </w:r>
          </w:p>
        </w:tc>
        <w:tc>
          <w:tcPr>
            <w:tcW w:w="1250" w:type="pct"/>
          </w:tcPr>
          <w:p w14:paraId="3F4308D4"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87CAFB3"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74C634AE" w14:textId="79E8CD05"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Por su parte el inciso r) del artículo 38 arriba citado dispone que es atribución del Superintendente de Pensiones, “…</w:t>
            </w:r>
            <w:r w:rsidRPr="00610670">
              <w:rPr>
                <w:rFonts w:ascii="Times New Roman" w:eastAsia="Times New Roman" w:hAnsi="Times New Roman" w:cs="Times New Roman"/>
                <w:i/>
                <w:iCs/>
                <w:color w:val="000000"/>
                <w:kern w:val="0"/>
                <w:sz w:val="22"/>
                <w:szCs w:val="22"/>
                <w:lang w:val="es-ES" w:eastAsia="es-ES"/>
                <w14:ligatures w14:val="none"/>
              </w:rPr>
              <w:t xml:space="preserve">r) Exigir, a los entes supervisados, el suministro de la información necesaria para los afiliados y dictar normas específicas sobre el contenido, la forma y la periodicidad con que las entidades supervisadas deben proporcionar a la Superintendencia, al afiliado y al público, información sobre su situación jurídica, económica y financiera, sobre las características y los costos de sus servicios, las operaciones activas y pasivas y cualquier otra información que considere de importancia; todo con el fin de que exista información </w:t>
            </w:r>
            <w:r w:rsidRPr="00610670">
              <w:rPr>
                <w:rFonts w:ascii="Times New Roman" w:eastAsia="Times New Roman" w:hAnsi="Times New Roman" w:cs="Times New Roman"/>
                <w:i/>
                <w:iCs/>
                <w:color w:val="000000"/>
                <w:kern w:val="0"/>
                <w:sz w:val="22"/>
                <w:szCs w:val="22"/>
                <w:lang w:val="es-ES" w:eastAsia="es-ES"/>
                <w14:ligatures w14:val="none"/>
              </w:rPr>
              <w:lastRenderedPageBreak/>
              <w:t>suficiente y confiable sobre la situación de las entidades supervisadas…”.</w:t>
            </w:r>
          </w:p>
        </w:tc>
      </w:tr>
      <w:tr w:rsidR="00A95B08" w:rsidRPr="00610670" w14:paraId="67028C21" w14:textId="07C425E6" w:rsidTr="006633AC">
        <w:tc>
          <w:tcPr>
            <w:tcW w:w="1250" w:type="pct"/>
          </w:tcPr>
          <w:p w14:paraId="4DE861F3"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43106EE"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71A76E11"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AEEA88C"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r>
      <w:tr w:rsidR="00A95B08" w:rsidRPr="00610670" w14:paraId="4DEFE15B" w14:textId="181CD99F" w:rsidTr="006633AC">
        <w:tc>
          <w:tcPr>
            <w:tcW w:w="1250" w:type="pct"/>
          </w:tcPr>
          <w:p w14:paraId="67C6BA8F" w14:textId="77777777" w:rsidR="00A95B08" w:rsidRPr="00610670" w:rsidRDefault="00A95B08" w:rsidP="00A95B08">
            <w:pPr>
              <w:numPr>
                <w:ilvl w:val="0"/>
                <w:numId w:val="11"/>
              </w:numPr>
              <w:autoSpaceDE w:val="0"/>
              <w:autoSpaceDN w:val="0"/>
              <w:adjustRightInd w:val="0"/>
              <w:spacing w:before="240" w:after="240" w:line="360" w:lineRule="auto"/>
              <w:ind w:left="426"/>
              <w:contextualSpacing/>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En lo que respecta al Régimen Obligatorio de Pensiones Complementarias, el artículo 20 de la Ley N°7983, Ley de Protección al Trabajador dispone que:</w:t>
            </w:r>
          </w:p>
        </w:tc>
        <w:tc>
          <w:tcPr>
            <w:tcW w:w="1250" w:type="pct"/>
          </w:tcPr>
          <w:p w14:paraId="4501ECD6"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74D6F7B9"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5D5735B" w14:textId="730E2EFA"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En lo que respecta al Régimen Obligatorio de Pensiones Complementarias, el artículo 20 de la Ley N°7983, Ley de Protección al Trabajador dispone que:</w:t>
            </w:r>
          </w:p>
        </w:tc>
      </w:tr>
      <w:tr w:rsidR="00A95B08" w:rsidRPr="00610670" w14:paraId="0C6E7570" w14:textId="5F255758" w:rsidTr="006633AC">
        <w:tc>
          <w:tcPr>
            <w:tcW w:w="1250" w:type="pct"/>
          </w:tcPr>
          <w:p w14:paraId="06A53EFF"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 En caso de muerte del afiliado o pensionado, sus beneficiarios serán establecidos de conformidad con las siguientes reglas:</w:t>
            </w:r>
          </w:p>
        </w:tc>
        <w:tc>
          <w:tcPr>
            <w:tcW w:w="1250" w:type="pct"/>
          </w:tcPr>
          <w:p w14:paraId="31CD4897"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409F20EF"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3694B0F2" w14:textId="022D17E6"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 En caso de muerte del afiliado o pensionado, sus beneficiarios serán establecidos de conformidad con las siguientes reglas:</w:t>
            </w:r>
          </w:p>
        </w:tc>
      </w:tr>
      <w:tr w:rsidR="00A95B08" w:rsidRPr="00610670" w14:paraId="6D7A5AE1" w14:textId="28BDEC7F" w:rsidTr="006633AC">
        <w:tc>
          <w:tcPr>
            <w:tcW w:w="1250" w:type="pct"/>
          </w:tcPr>
          <w:p w14:paraId="049BF107"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a) En primer lugar, los beneficiarios serán los establecidos por el Régimen de Invalidez, Vejez y Muerte de la Caja Costarricense de Seguro Social o por el régimen público sustituto.</w:t>
            </w:r>
          </w:p>
        </w:tc>
        <w:tc>
          <w:tcPr>
            <w:tcW w:w="1250" w:type="pct"/>
          </w:tcPr>
          <w:p w14:paraId="7025D3C4"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416BAFED"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192679F0" w14:textId="16FA7566"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a) En primer lugar, los beneficiarios serán los establecidos por el Régimen de Invalidez, Vejez y Muerte de la Caja Costarricense de Seguro Social o por el régimen público sustituto.</w:t>
            </w:r>
          </w:p>
        </w:tc>
      </w:tr>
      <w:tr w:rsidR="00A95B08" w:rsidRPr="00610670" w14:paraId="56553CA5" w14:textId="3A04EFF4" w:rsidTr="006633AC">
        <w:tc>
          <w:tcPr>
            <w:tcW w:w="1250" w:type="pct"/>
          </w:tcPr>
          <w:p w14:paraId="09FD5291"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b) Si no existieran beneficiarios establecidos por el Régimen de Invalidez, Vejez y Muerte o por el régimen público sustituto, serán los que el afiliado o pensionado haya designado ante la operadora de pensiones que administra sus recursos.</w:t>
            </w:r>
          </w:p>
        </w:tc>
        <w:tc>
          <w:tcPr>
            <w:tcW w:w="1250" w:type="pct"/>
          </w:tcPr>
          <w:p w14:paraId="6B9573EA"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6233BFA9"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6A76354F" w14:textId="21768F4B"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b) Si no existieran beneficiarios establecidos por el Régimen de Invalidez, Vejez y Muerte o por el régimen público sustituto, serán los que el afiliado o pensionado haya designado ante la operadora de pensiones que administra sus recursos.</w:t>
            </w:r>
          </w:p>
        </w:tc>
      </w:tr>
      <w:tr w:rsidR="00A95B08" w:rsidRPr="00610670" w14:paraId="09CC3FF0" w14:textId="536760E6" w:rsidTr="006633AC">
        <w:tc>
          <w:tcPr>
            <w:tcW w:w="1250" w:type="pct"/>
          </w:tcPr>
          <w:p w14:paraId="1F047A15"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c) Si no existieran beneficiarios establecidos por el Régimen de Invalidez, Vejez y Muerte o por el régimen público sustituto, ni tampoco beneficiarios designados como tales ante la operadora de pensiones, el saldo de la cuenta individual podrá ser reclamado ante la autoridad judicial de trabajo que corresponda, por cualquiera que tenga interés legítimo en ello, según lo establece el artículo 85 de la Ley 2, Código de Trabajo, de 27 de agosto de 1943…”</w:t>
            </w:r>
          </w:p>
        </w:tc>
        <w:tc>
          <w:tcPr>
            <w:tcW w:w="1250" w:type="pct"/>
          </w:tcPr>
          <w:p w14:paraId="777D67A6"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3CDEFD9F"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3FFD49E5" w14:textId="5C63F46E"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c) Si no existieran beneficiarios establecidos por el Régimen de Invalidez, Vejez y Muerte o por el régimen público sustituto, ni tampoco beneficiarios designados como tales ante la operadora de pensiones, el saldo de la cuenta individual podrá ser reclamado ante la autoridad judicial de trabajo que corresponda, por cualquiera que tenga interés legítimo en ello, según lo establece el artículo 85 de la Ley 2, Código de Trabajo, de 27 de agosto de 1943…”</w:t>
            </w:r>
          </w:p>
        </w:tc>
      </w:tr>
      <w:tr w:rsidR="00A95B08" w:rsidRPr="00610670" w14:paraId="339151AE" w14:textId="0D6F8CE1" w:rsidTr="006633AC">
        <w:tc>
          <w:tcPr>
            <w:tcW w:w="1250" w:type="pct"/>
          </w:tcPr>
          <w:p w14:paraId="7BBD9886" w14:textId="77777777" w:rsidR="00A95B08" w:rsidRPr="00610670" w:rsidRDefault="00A95B08" w:rsidP="00A95B08">
            <w:pPr>
              <w:autoSpaceDE w:val="0"/>
              <w:autoSpaceDN w:val="0"/>
              <w:adjustRightInd w:val="0"/>
              <w:spacing w:before="240" w:after="240" w:line="360" w:lineRule="auto"/>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Por su parte, el artículo 77 de la citada ley dispone en su párrafo tercero que:  </w:t>
            </w:r>
          </w:p>
        </w:tc>
        <w:tc>
          <w:tcPr>
            <w:tcW w:w="1250" w:type="pct"/>
          </w:tcPr>
          <w:p w14:paraId="47C33063" w14:textId="77777777" w:rsidR="00A95B08" w:rsidRPr="00610670" w:rsidRDefault="00A95B08" w:rsidP="00A95B08">
            <w:pPr>
              <w:autoSpaceDE w:val="0"/>
              <w:autoSpaceDN w:val="0"/>
              <w:adjustRightInd w:val="0"/>
              <w:spacing w:before="240" w:after="240" w:line="360" w:lineRule="auto"/>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14CA10D" w14:textId="77777777" w:rsidR="00A95B08" w:rsidRPr="00610670" w:rsidRDefault="00A95B08" w:rsidP="00A95B08">
            <w:pPr>
              <w:autoSpaceDE w:val="0"/>
              <w:autoSpaceDN w:val="0"/>
              <w:adjustRightInd w:val="0"/>
              <w:spacing w:before="240" w:after="240" w:line="360" w:lineRule="auto"/>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B7C5ED2" w14:textId="01A5050B" w:rsidR="00A95B08" w:rsidRPr="00610670" w:rsidRDefault="00A95B08" w:rsidP="00A95B08">
            <w:pPr>
              <w:autoSpaceDE w:val="0"/>
              <w:autoSpaceDN w:val="0"/>
              <w:adjustRightInd w:val="0"/>
              <w:spacing w:before="240" w:after="240" w:line="360" w:lineRule="auto"/>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Por su parte, el artículo 77 de la citada ley dispone en su párrafo tercero que:  </w:t>
            </w:r>
          </w:p>
        </w:tc>
      </w:tr>
      <w:tr w:rsidR="00A95B08" w:rsidRPr="00610670" w14:paraId="70E81D31" w14:textId="7C79478B" w:rsidTr="006633AC">
        <w:tc>
          <w:tcPr>
            <w:tcW w:w="1250" w:type="pct"/>
          </w:tcPr>
          <w:p w14:paraId="68F74392"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 Si los recursos del Régimen Complementario de Pensiones no han sido retirados por los beneficiarios en un plazo de diez años, contado a partir del fallecimiento del afiliado o pensionado, el derecho sobre tales recursos prescribirá y serán girados por las operadoras de pensiones a favor del Régimen No Contributivo (RNC) de la Caja Costarricense de Seguro Social (CCSS)…”.</w:t>
            </w:r>
          </w:p>
        </w:tc>
        <w:tc>
          <w:tcPr>
            <w:tcW w:w="1250" w:type="pct"/>
          </w:tcPr>
          <w:p w14:paraId="16DA41B0"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08BC8D6D" w14:textId="77777777"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p>
        </w:tc>
        <w:tc>
          <w:tcPr>
            <w:tcW w:w="1250" w:type="pct"/>
          </w:tcPr>
          <w:p w14:paraId="53BA94D6" w14:textId="32BF2BBF" w:rsidR="00A95B08" w:rsidRPr="00610670" w:rsidRDefault="00A95B08" w:rsidP="00A95B08">
            <w:pPr>
              <w:autoSpaceDE w:val="0"/>
              <w:autoSpaceDN w:val="0"/>
              <w:adjustRightInd w:val="0"/>
              <w:spacing w:before="240" w:after="240"/>
              <w:jc w:val="both"/>
              <w:rPr>
                <w:rFonts w:ascii="Times New Roman" w:eastAsia="Times New Roman" w:hAnsi="Times New Roman" w:cs="Times New Roman"/>
                <w:i/>
                <w:iCs/>
                <w:color w:val="000000"/>
                <w:kern w:val="0"/>
                <w:sz w:val="22"/>
                <w:szCs w:val="22"/>
                <w:lang w:val="es-ES" w:eastAsia="es-ES"/>
                <w14:ligatures w14:val="none"/>
              </w:rPr>
            </w:pPr>
            <w:r w:rsidRPr="00610670">
              <w:rPr>
                <w:rFonts w:ascii="Times New Roman" w:eastAsia="Times New Roman" w:hAnsi="Times New Roman" w:cs="Times New Roman"/>
                <w:i/>
                <w:iCs/>
                <w:color w:val="000000"/>
                <w:kern w:val="0"/>
                <w:sz w:val="22"/>
                <w:szCs w:val="22"/>
                <w:lang w:val="es-ES" w:eastAsia="es-ES"/>
                <w14:ligatures w14:val="none"/>
              </w:rPr>
              <w:t>“(…) Si los recursos del Régimen Complementario de Pensiones no han sido retirados por los beneficiarios en un plazo de diez años, contado a partir del fallecimiento del afiliado o pensionado, el derecho sobre tales recursos prescribirá y serán girados por las operadoras de pensiones a favor del Régimen No Contributivo (RNC) de la Caja Costarricense de Seguro Social (CCSS)…”.</w:t>
            </w:r>
          </w:p>
        </w:tc>
      </w:tr>
      <w:tr w:rsidR="00A95B08" w:rsidRPr="00610670" w14:paraId="18A5291A" w14:textId="424177DB" w:rsidTr="006633AC">
        <w:tc>
          <w:tcPr>
            <w:tcW w:w="1250" w:type="pct"/>
          </w:tcPr>
          <w:p w14:paraId="13B4C2E3" w14:textId="77777777" w:rsidR="00A95B08" w:rsidRPr="00610670" w:rsidRDefault="00A95B08" w:rsidP="00A95B08">
            <w:pPr>
              <w:numPr>
                <w:ilvl w:val="0"/>
                <w:numId w:val="11"/>
              </w:num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En relación con lo indicado en el considerando anterior, los artículos </w:t>
            </w:r>
            <w:r w:rsidRPr="00610670">
              <w:rPr>
                <w:rFonts w:ascii="Times New Roman" w:eastAsia="Times New Roman" w:hAnsi="Times New Roman" w:cs="Times New Roman"/>
                <w:color w:val="000000"/>
                <w:kern w:val="0"/>
                <w:sz w:val="22"/>
                <w:szCs w:val="22"/>
                <w:lang w:val="es-ES" w:eastAsia="es-ES"/>
                <w14:ligatures w14:val="none"/>
              </w:rPr>
              <w:lastRenderedPageBreak/>
              <w:t xml:space="preserve">18, 19 y 20, del </w:t>
            </w:r>
            <w:r w:rsidRPr="00610670">
              <w:rPr>
                <w:rFonts w:ascii="Times New Roman" w:eastAsia="Times New Roman" w:hAnsi="Times New Roman" w:cs="Times New Roman"/>
                <w:i/>
                <w:iCs/>
                <w:color w:val="000000"/>
                <w:kern w:val="0"/>
                <w:sz w:val="22"/>
                <w:szCs w:val="22"/>
                <w:lang w:val="es-ES" w:eastAsia="es-ES"/>
                <w14:ligatures w14:val="none"/>
              </w:rPr>
              <w:t>Reglamento de Beneficios del Régimen de Capitalización Individual</w:t>
            </w:r>
            <w:r w:rsidRPr="00610670">
              <w:rPr>
                <w:rFonts w:ascii="Times New Roman" w:eastAsia="Times New Roman" w:hAnsi="Times New Roman" w:cs="Times New Roman"/>
                <w:color w:val="000000"/>
                <w:kern w:val="0"/>
                <w:sz w:val="22"/>
                <w:szCs w:val="22"/>
                <w:lang w:val="es-ES" w:eastAsia="es-ES"/>
                <w14:ligatures w14:val="none"/>
              </w:rPr>
              <w:t>, desarrollan el contenido, el alcance, el procedimiento y los requisitos para que las personas beneficiarias puedan optar por el acceso a los beneficios de los afiliados fallecidos.</w:t>
            </w:r>
          </w:p>
        </w:tc>
        <w:tc>
          <w:tcPr>
            <w:tcW w:w="1250" w:type="pct"/>
          </w:tcPr>
          <w:p w14:paraId="752F45C2"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55635ABA"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649FF78E" w14:textId="6AFE136E"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En relación con lo indicado en el considerando anterior, los artículos </w:t>
            </w:r>
            <w:r w:rsidRPr="00610670">
              <w:rPr>
                <w:rFonts w:ascii="Times New Roman" w:eastAsia="Times New Roman" w:hAnsi="Times New Roman" w:cs="Times New Roman"/>
                <w:color w:val="000000"/>
                <w:kern w:val="0"/>
                <w:sz w:val="22"/>
                <w:szCs w:val="22"/>
                <w:lang w:val="es-ES" w:eastAsia="es-ES"/>
                <w14:ligatures w14:val="none"/>
              </w:rPr>
              <w:lastRenderedPageBreak/>
              <w:t xml:space="preserve">18, 19 y 20, del </w:t>
            </w:r>
            <w:r w:rsidRPr="00610670">
              <w:rPr>
                <w:rFonts w:ascii="Times New Roman" w:eastAsia="Times New Roman" w:hAnsi="Times New Roman" w:cs="Times New Roman"/>
                <w:i/>
                <w:iCs/>
                <w:color w:val="000000"/>
                <w:kern w:val="0"/>
                <w:sz w:val="22"/>
                <w:szCs w:val="22"/>
                <w:lang w:val="es-ES" w:eastAsia="es-ES"/>
                <w14:ligatures w14:val="none"/>
              </w:rPr>
              <w:t>Reglamento de Beneficios del Régimen de Capitalización Individual</w:t>
            </w:r>
            <w:r w:rsidRPr="00610670">
              <w:rPr>
                <w:rFonts w:ascii="Times New Roman" w:eastAsia="Times New Roman" w:hAnsi="Times New Roman" w:cs="Times New Roman"/>
                <w:color w:val="000000"/>
                <w:kern w:val="0"/>
                <w:sz w:val="22"/>
                <w:szCs w:val="22"/>
                <w:lang w:val="es-ES" w:eastAsia="es-ES"/>
                <w14:ligatures w14:val="none"/>
              </w:rPr>
              <w:t>, desarrollan el contenido, el alcance, el procedimiento y los requisitos para que las personas beneficiarias puedan optar por el acceso a los beneficios de los afiliados fallecidos.</w:t>
            </w:r>
          </w:p>
        </w:tc>
      </w:tr>
      <w:tr w:rsidR="00A95B08" w:rsidRPr="00610670" w14:paraId="48C1E0FF" w14:textId="5AA22A06" w:rsidTr="006633AC">
        <w:tc>
          <w:tcPr>
            <w:tcW w:w="1250" w:type="pct"/>
          </w:tcPr>
          <w:p w14:paraId="13268B7C"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1DA041B"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730A733"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1A33198C"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r>
      <w:tr w:rsidR="00A95B08" w:rsidRPr="00610670" w14:paraId="76C6C5E8" w14:textId="24798D5E" w:rsidTr="006633AC">
        <w:tc>
          <w:tcPr>
            <w:tcW w:w="1250" w:type="pct"/>
          </w:tcPr>
          <w:p w14:paraId="50E18561"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El legislador prestó importancia al destino que recibirán los recursos de los afiliados fallecidos del Régimen complementario de pensiones, disponiendo reglas claras y precisas para la designación de beneficiarios. Asimismo, dispuso lo propio para los casos donde no se indican beneficiarios. Pese a lo anterior, existe el riesgo de que personas, en calidad de beneficiarios, no realicen, por desconocimiento, las gestiones necesarias para acceder a los recursos que les han sido designados.</w:t>
            </w:r>
          </w:p>
        </w:tc>
        <w:tc>
          <w:tcPr>
            <w:tcW w:w="1250" w:type="pct"/>
          </w:tcPr>
          <w:p w14:paraId="5038E598"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3D1C4E3A" w14:textId="77777777" w:rsidR="00A95B08" w:rsidRDefault="00D66F9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r>
              <w:rPr>
                <w:rFonts w:ascii="Times New Roman" w:eastAsia="Times New Roman" w:hAnsi="Times New Roman" w:cs="Times New Roman"/>
                <w:color w:val="000000"/>
                <w:kern w:val="0"/>
                <w:sz w:val="22"/>
                <w:szCs w:val="22"/>
                <w:lang w:val="es-ES" w:eastAsia="es-ES"/>
                <w14:ligatures w14:val="none"/>
              </w:rPr>
              <w:t>SE ACLARA REDACCIÓN</w:t>
            </w:r>
            <w:r w:rsidR="00A515AB">
              <w:rPr>
                <w:rFonts w:ascii="Times New Roman" w:eastAsia="Times New Roman" w:hAnsi="Times New Roman" w:cs="Times New Roman"/>
                <w:color w:val="000000"/>
                <w:kern w:val="0"/>
                <w:sz w:val="22"/>
                <w:szCs w:val="22"/>
                <w:lang w:val="es-ES" w:eastAsia="es-ES"/>
                <w14:ligatures w14:val="none"/>
              </w:rPr>
              <w:t>.</w:t>
            </w:r>
          </w:p>
          <w:p w14:paraId="4E5F7FB1" w14:textId="77777777" w:rsidR="00A515AB" w:rsidRDefault="00A515AB"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p w14:paraId="3B9F43C3" w14:textId="77C80877" w:rsidR="00A515AB" w:rsidRPr="00610670" w:rsidRDefault="00A515AB"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r>
              <w:rPr>
                <w:rFonts w:ascii="Times New Roman" w:eastAsia="Times New Roman" w:hAnsi="Times New Roman" w:cs="Times New Roman"/>
                <w:color w:val="000000"/>
                <w:kern w:val="0"/>
                <w:sz w:val="22"/>
                <w:szCs w:val="22"/>
                <w:lang w:val="es-ES" w:eastAsia="es-ES"/>
                <w14:ligatures w14:val="none"/>
              </w:rPr>
              <w:t>Se aclaró la redacción de esté párrafo para brindar mayor claridad conceptual.-</w:t>
            </w:r>
          </w:p>
        </w:tc>
        <w:tc>
          <w:tcPr>
            <w:tcW w:w="1250" w:type="pct"/>
          </w:tcPr>
          <w:p w14:paraId="663121CB" w14:textId="06C8BF13" w:rsidR="00A95B08" w:rsidRPr="00610670" w:rsidRDefault="00D66F9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r w:rsidRPr="00D66F98">
              <w:rPr>
                <w:rFonts w:ascii="Times New Roman" w:eastAsia="Times New Roman" w:hAnsi="Times New Roman" w:cs="Times New Roman"/>
                <w:color w:val="000000"/>
                <w:kern w:val="0"/>
                <w:sz w:val="22"/>
                <w:szCs w:val="22"/>
                <w:lang w:val="es-ES" w:eastAsia="es-ES"/>
                <w14:ligatures w14:val="none"/>
              </w:rPr>
              <w:t>El legislador prestó importancia al destino que recibirán los recursos de los afiliados fallecidos del Régimen complementario de pensiones, disponiendo reglas claras y precisas para la designación de beneficiarios. Asimismo, dispuso lo propio para los casos donde no se indican beneficiarios. Pese a lo anterior, persiste el riesgo de que las personas afiliadas no realicen las gestiones necesarias para declarar su voluntad acerca de la designación de beneficiario en caso de fallecimiento.</w:t>
            </w:r>
          </w:p>
        </w:tc>
      </w:tr>
      <w:tr w:rsidR="00A95B08" w:rsidRPr="00610670" w14:paraId="0F2D268F" w14:textId="25119D14" w:rsidTr="006633AC">
        <w:tc>
          <w:tcPr>
            <w:tcW w:w="1250" w:type="pct"/>
          </w:tcPr>
          <w:p w14:paraId="42A35628"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6644215B"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19289ED7"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2FC3CCD4" w14:textId="77777777" w:rsidR="00A95B08" w:rsidRPr="00610670" w:rsidRDefault="00A95B08" w:rsidP="00A95B08">
            <w:pPr>
              <w:autoSpaceDE w:val="0"/>
              <w:autoSpaceDN w:val="0"/>
              <w:adjustRightInd w:val="0"/>
              <w:spacing w:before="240" w:after="240" w:line="360" w:lineRule="auto"/>
              <w:contextualSpacing/>
              <w:jc w:val="both"/>
              <w:rPr>
                <w:rFonts w:ascii="Times New Roman" w:eastAsia="Times New Roman" w:hAnsi="Times New Roman" w:cs="Times New Roman"/>
                <w:color w:val="000000"/>
                <w:kern w:val="0"/>
                <w:sz w:val="22"/>
                <w:szCs w:val="22"/>
                <w:lang w:val="es-ES" w:eastAsia="es-ES"/>
                <w14:ligatures w14:val="none"/>
              </w:rPr>
            </w:pPr>
          </w:p>
        </w:tc>
      </w:tr>
      <w:tr w:rsidR="00A95B08" w:rsidRPr="00610670" w14:paraId="210998D9" w14:textId="453DC48B" w:rsidTr="006633AC">
        <w:tc>
          <w:tcPr>
            <w:tcW w:w="1250" w:type="pct"/>
          </w:tcPr>
          <w:p w14:paraId="522CF040" w14:textId="77777777" w:rsidR="00A95B08" w:rsidRPr="00610670" w:rsidRDefault="00A95B08" w:rsidP="00A95B08">
            <w:pPr>
              <w:numPr>
                <w:ilvl w:val="0"/>
                <w:numId w:val="11"/>
              </w:num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En virtud de lo anteriormente indicado, la Superintendencia de Pensiones considera necesario reforzar la correcta y pronta asignación de los recursos de las cuentas individuales de los afiliados fallecidos a los beneficiarios que correspondan. </w:t>
            </w:r>
          </w:p>
        </w:tc>
        <w:tc>
          <w:tcPr>
            <w:tcW w:w="1250" w:type="pct"/>
          </w:tcPr>
          <w:p w14:paraId="0E8FEB7A"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0AB3FF9B" w14:textId="77777777"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p>
        </w:tc>
        <w:tc>
          <w:tcPr>
            <w:tcW w:w="1250" w:type="pct"/>
          </w:tcPr>
          <w:p w14:paraId="6DA9D6F2" w14:textId="149D2799" w:rsidR="00A95B08" w:rsidRPr="00610670" w:rsidRDefault="00A95B08" w:rsidP="00A95B08">
            <w:pPr>
              <w:autoSpaceDE w:val="0"/>
              <w:autoSpaceDN w:val="0"/>
              <w:adjustRightInd w:val="0"/>
              <w:spacing w:before="240" w:after="240" w:line="360" w:lineRule="auto"/>
              <w:ind w:left="426"/>
              <w:contextualSpacing/>
              <w:jc w:val="both"/>
              <w:rPr>
                <w:rFonts w:ascii="Times New Roman" w:eastAsia="Times New Roman" w:hAnsi="Times New Roman" w:cs="Times New Roman"/>
                <w:color w:val="000000"/>
                <w:kern w:val="0"/>
                <w:sz w:val="22"/>
                <w:szCs w:val="22"/>
                <w:lang w:val="es-ES" w:eastAsia="es-ES"/>
                <w14:ligatures w14:val="none"/>
              </w:rPr>
            </w:pPr>
            <w:r w:rsidRPr="00610670">
              <w:rPr>
                <w:rFonts w:ascii="Times New Roman" w:eastAsia="Times New Roman" w:hAnsi="Times New Roman" w:cs="Times New Roman"/>
                <w:color w:val="000000"/>
                <w:kern w:val="0"/>
                <w:sz w:val="22"/>
                <w:szCs w:val="22"/>
                <w:lang w:val="es-ES" w:eastAsia="es-ES"/>
                <w14:ligatures w14:val="none"/>
              </w:rPr>
              <w:t xml:space="preserve">En virtud de lo anteriormente indicado, la Superintendencia de Pensiones considera necesario reforzar la correcta y pronta asignación de los recursos de las cuentas individuales de los afiliados fallecidos a los beneficiarios que correspondan. </w:t>
            </w:r>
          </w:p>
        </w:tc>
      </w:tr>
      <w:tr w:rsidR="00A95B08" w:rsidRPr="00610670" w14:paraId="233982F6" w14:textId="52E9F833" w:rsidTr="006633AC">
        <w:tc>
          <w:tcPr>
            <w:tcW w:w="1250" w:type="pct"/>
          </w:tcPr>
          <w:p w14:paraId="08398F42"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r w:rsidRPr="00610670">
              <w:rPr>
                <w:rFonts w:ascii="Times New Roman" w:eastAsia="Times New Roman" w:hAnsi="Times New Roman" w:cs="Times New Roman"/>
                <w:b/>
                <w:kern w:val="0"/>
                <w:sz w:val="22"/>
                <w:szCs w:val="22"/>
                <w:lang w:val="es-MX" w:eastAsia="es-ES"/>
                <w14:ligatures w14:val="none"/>
              </w:rPr>
              <w:t>Por tanto,</w:t>
            </w:r>
          </w:p>
        </w:tc>
        <w:tc>
          <w:tcPr>
            <w:tcW w:w="1250" w:type="pct"/>
          </w:tcPr>
          <w:p w14:paraId="2C9ABF85"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c>
          <w:tcPr>
            <w:tcW w:w="1250" w:type="pct"/>
          </w:tcPr>
          <w:p w14:paraId="4F9415F1"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c>
          <w:tcPr>
            <w:tcW w:w="1250" w:type="pct"/>
          </w:tcPr>
          <w:p w14:paraId="74E3A4C0" w14:textId="6C04E5E8"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r w:rsidRPr="00610670">
              <w:rPr>
                <w:rFonts w:ascii="Times New Roman" w:eastAsia="Times New Roman" w:hAnsi="Times New Roman" w:cs="Times New Roman"/>
                <w:b/>
                <w:kern w:val="0"/>
                <w:sz w:val="22"/>
                <w:szCs w:val="22"/>
                <w:lang w:val="es-MX" w:eastAsia="es-ES"/>
                <w14:ligatures w14:val="none"/>
              </w:rPr>
              <w:t>Por tanto,</w:t>
            </w:r>
          </w:p>
        </w:tc>
      </w:tr>
      <w:tr w:rsidR="00A95B08" w:rsidRPr="00610670" w14:paraId="764488E2" w14:textId="3CD4821C" w:rsidTr="006633AC">
        <w:tc>
          <w:tcPr>
            <w:tcW w:w="1250" w:type="pct"/>
          </w:tcPr>
          <w:p w14:paraId="7061E2BE"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c>
          <w:tcPr>
            <w:tcW w:w="1250" w:type="pct"/>
          </w:tcPr>
          <w:p w14:paraId="3CB0190F"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c>
          <w:tcPr>
            <w:tcW w:w="1250" w:type="pct"/>
          </w:tcPr>
          <w:p w14:paraId="7C4E675B"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c>
          <w:tcPr>
            <w:tcW w:w="1250" w:type="pct"/>
          </w:tcPr>
          <w:p w14:paraId="3F903E12" w14:textId="77777777" w:rsidR="00A95B08" w:rsidRPr="00610670" w:rsidRDefault="00A95B08" w:rsidP="00A95B08">
            <w:pPr>
              <w:keepNext/>
              <w:jc w:val="center"/>
              <w:outlineLvl w:val="3"/>
              <w:rPr>
                <w:rFonts w:ascii="Times New Roman" w:eastAsia="Times New Roman" w:hAnsi="Times New Roman" w:cs="Times New Roman"/>
                <w:b/>
                <w:kern w:val="0"/>
                <w:sz w:val="22"/>
                <w:szCs w:val="22"/>
                <w:lang w:val="es-MX" w:eastAsia="es-ES"/>
                <w14:ligatures w14:val="none"/>
              </w:rPr>
            </w:pPr>
          </w:p>
        </w:tc>
      </w:tr>
      <w:tr w:rsidR="00A95B08" w:rsidRPr="00610670" w14:paraId="5AB1C272" w14:textId="4590BC2A" w:rsidTr="006633AC">
        <w:tc>
          <w:tcPr>
            <w:tcW w:w="1250" w:type="pct"/>
          </w:tcPr>
          <w:p w14:paraId="3E443BAA" w14:textId="77777777" w:rsidR="00A95B08" w:rsidRPr="00610670" w:rsidRDefault="00A95B08" w:rsidP="00A95B08">
            <w:pPr>
              <w:keepNext/>
              <w:jc w:val="both"/>
              <w:outlineLvl w:val="3"/>
              <w:rPr>
                <w:rFonts w:ascii="Times New Roman" w:eastAsia="Times New Roman" w:hAnsi="Times New Roman" w:cs="Times New Roman"/>
                <w:b/>
                <w:kern w:val="0"/>
                <w:sz w:val="22"/>
                <w:szCs w:val="22"/>
                <w:lang w:val="es-MX" w:eastAsia="es-ES"/>
                <w14:ligatures w14:val="none"/>
              </w:rPr>
            </w:pPr>
          </w:p>
        </w:tc>
        <w:tc>
          <w:tcPr>
            <w:tcW w:w="1250" w:type="pct"/>
          </w:tcPr>
          <w:p w14:paraId="6895F99B" w14:textId="77777777" w:rsidR="00A95B08" w:rsidRPr="00610670" w:rsidRDefault="00A95B08" w:rsidP="00A95B08">
            <w:pPr>
              <w:keepNext/>
              <w:jc w:val="both"/>
              <w:outlineLvl w:val="3"/>
              <w:rPr>
                <w:rFonts w:ascii="Times New Roman" w:eastAsia="Times New Roman" w:hAnsi="Times New Roman" w:cs="Times New Roman"/>
                <w:b/>
                <w:kern w:val="0"/>
                <w:sz w:val="22"/>
                <w:szCs w:val="22"/>
                <w:lang w:val="es-MX" w:eastAsia="es-ES"/>
                <w14:ligatures w14:val="none"/>
              </w:rPr>
            </w:pPr>
          </w:p>
        </w:tc>
        <w:tc>
          <w:tcPr>
            <w:tcW w:w="1250" w:type="pct"/>
          </w:tcPr>
          <w:p w14:paraId="1A22AAE3" w14:textId="77777777" w:rsidR="00A95B08" w:rsidRPr="00610670" w:rsidRDefault="00A95B08" w:rsidP="00A95B08">
            <w:pPr>
              <w:keepNext/>
              <w:jc w:val="both"/>
              <w:outlineLvl w:val="3"/>
              <w:rPr>
                <w:rFonts w:ascii="Times New Roman" w:eastAsia="Times New Roman" w:hAnsi="Times New Roman" w:cs="Times New Roman"/>
                <w:b/>
                <w:kern w:val="0"/>
                <w:sz w:val="22"/>
                <w:szCs w:val="22"/>
                <w:lang w:val="es-MX" w:eastAsia="es-ES"/>
                <w14:ligatures w14:val="none"/>
              </w:rPr>
            </w:pPr>
          </w:p>
        </w:tc>
        <w:tc>
          <w:tcPr>
            <w:tcW w:w="1250" w:type="pct"/>
          </w:tcPr>
          <w:p w14:paraId="5C8F7F08" w14:textId="77777777" w:rsidR="00A95B08" w:rsidRPr="00610670" w:rsidRDefault="00A95B08" w:rsidP="00A95B08">
            <w:pPr>
              <w:keepNext/>
              <w:jc w:val="both"/>
              <w:outlineLvl w:val="3"/>
              <w:rPr>
                <w:rFonts w:ascii="Times New Roman" w:eastAsia="Times New Roman" w:hAnsi="Times New Roman" w:cs="Times New Roman"/>
                <w:b/>
                <w:kern w:val="0"/>
                <w:sz w:val="22"/>
                <w:szCs w:val="22"/>
                <w:lang w:val="es-MX" w:eastAsia="es-ES"/>
                <w14:ligatures w14:val="none"/>
              </w:rPr>
            </w:pPr>
          </w:p>
        </w:tc>
      </w:tr>
      <w:tr w:rsidR="00A95B08" w:rsidRPr="00610670" w14:paraId="18AB7839" w14:textId="7E633ECD" w:rsidTr="006633AC">
        <w:tc>
          <w:tcPr>
            <w:tcW w:w="1250" w:type="pct"/>
          </w:tcPr>
          <w:p w14:paraId="707D7983"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r w:rsidRPr="00610670">
              <w:rPr>
                <w:rFonts w:ascii="Times New Roman" w:eastAsia="Times New Roman" w:hAnsi="Times New Roman" w:cs="Times New Roman"/>
                <w:bCs/>
                <w:kern w:val="0"/>
                <w:sz w:val="22"/>
                <w:szCs w:val="22"/>
                <w:lang w:val="es-MX" w:eastAsia="es-ES"/>
                <w14:ligatures w14:val="none"/>
              </w:rPr>
              <w:t xml:space="preserve">Se establecen los siguientes deberes de información a los afiliados, por parte de los administradores de fondos de pensiones complementarias, en cuanto al nombramiento de beneficiarios.  </w:t>
            </w:r>
          </w:p>
        </w:tc>
        <w:tc>
          <w:tcPr>
            <w:tcW w:w="1250" w:type="pct"/>
          </w:tcPr>
          <w:p w14:paraId="1369448A"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p>
        </w:tc>
        <w:tc>
          <w:tcPr>
            <w:tcW w:w="1250" w:type="pct"/>
          </w:tcPr>
          <w:p w14:paraId="122309C1"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p>
        </w:tc>
        <w:tc>
          <w:tcPr>
            <w:tcW w:w="1250" w:type="pct"/>
          </w:tcPr>
          <w:p w14:paraId="406D2DBE" w14:textId="12F4E082"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r w:rsidRPr="00610670">
              <w:rPr>
                <w:rFonts w:ascii="Times New Roman" w:eastAsia="Times New Roman" w:hAnsi="Times New Roman" w:cs="Times New Roman"/>
                <w:bCs/>
                <w:kern w:val="0"/>
                <w:sz w:val="22"/>
                <w:szCs w:val="22"/>
                <w:lang w:val="es-MX" w:eastAsia="es-ES"/>
                <w14:ligatures w14:val="none"/>
              </w:rPr>
              <w:t xml:space="preserve">Se establecen los siguientes deberes de información a los afiliados, por parte de los administradores de fondos de pensiones complementarias, en cuanto al nombramiento de beneficiarios.  </w:t>
            </w:r>
          </w:p>
        </w:tc>
      </w:tr>
      <w:tr w:rsidR="00A95B08" w:rsidRPr="00610670" w14:paraId="1B20EDBE" w14:textId="3AC5390C" w:rsidTr="006633AC">
        <w:tc>
          <w:tcPr>
            <w:tcW w:w="1250" w:type="pct"/>
          </w:tcPr>
          <w:p w14:paraId="052FF043"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r w:rsidRPr="00610670">
              <w:rPr>
                <w:rFonts w:ascii="Times New Roman" w:eastAsia="Times New Roman" w:hAnsi="Times New Roman" w:cs="Times New Roman"/>
                <w:bCs/>
                <w:kern w:val="0"/>
                <w:sz w:val="22"/>
                <w:szCs w:val="22"/>
                <w:lang w:val="es-MX" w:eastAsia="es-ES"/>
                <w14:ligatures w14:val="none"/>
              </w:rPr>
              <w:t xml:space="preserve"> </w:t>
            </w:r>
          </w:p>
        </w:tc>
        <w:tc>
          <w:tcPr>
            <w:tcW w:w="1250" w:type="pct"/>
          </w:tcPr>
          <w:p w14:paraId="744720BB"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p>
        </w:tc>
        <w:tc>
          <w:tcPr>
            <w:tcW w:w="1250" w:type="pct"/>
          </w:tcPr>
          <w:p w14:paraId="23C80C8F"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p>
        </w:tc>
        <w:tc>
          <w:tcPr>
            <w:tcW w:w="1250" w:type="pct"/>
          </w:tcPr>
          <w:p w14:paraId="3B2A43BF" w14:textId="57558C01"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r w:rsidRPr="00610670">
              <w:rPr>
                <w:rFonts w:ascii="Times New Roman" w:eastAsia="Times New Roman" w:hAnsi="Times New Roman" w:cs="Times New Roman"/>
                <w:bCs/>
                <w:kern w:val="0"/>
                <w:sz w:val="22"/>
                <w:szCs w:val="22"/>
                <w:lang w:val="es-MX" w:eastAsia="es-ES"/>
                <w14:ligatures w14:val="none"/>
              </w:rPr>
              <w:t xml:space="preserve"> </w:t>
            </w:r>
          </w:p>
        </w:tc>
      </w:tr>
      <w:tr w:rsidR="00A95B08" w:rsidRPr="00610670" w14:paraId="07EB2916" w14:textId="1BFBCC22" w:rsidTr="006633AC">
        <w:tc>
          <w:tcPr>
            <w:tcW w:w="1250" w:type="pct"/>
          </w:tcPr>
          <w:p w14:paraId="594D5CBA" w14:textId="77777777" w:rsidR="00A95B08" w:rsidRPr="00610670" w:rsidRDefault="00A95B08" w:rsidP="00A95B08">
            <w:pPr>
              <w:keepNext/>
              <w:spacing w:line="360" w:lineRule="auto"/>
              <w:jc w:val="both"/>
              <w:outlineLvl w:val="3"/>
              <w:rPr>
                <w:rFonts w:ascii="Times New Roman" w:eastAsia="Times New Roman" w:hAnsi="Times New Roman" w:cs="Times New Roman"/>
                <w:bCs/>
                <w:kern w:val="0"/>
                <w:sz w:val="22"/>
                <w:szCs w:val="22"/>
                <w:lang w:val="es-MX" w:eastAsia="es-ES"/>
                <w14:ligatures w14:val="none"/>
              </w:rPr>
            </w:pPr>
            <w:r w:rsidRPr="00610670">
              <w:rPr>
                <w:rFonts w:ascii="Times New Roman" w:eastAsia="Times New Roman" w:hAnsi="Times New Roman" w:cs="Times New Roman"/>
                <w:b/>
                <w:kern w:val="0"/>
                <w:sz w:val="22"/>
                <w:szCs w:val="22"/>
                <w:lang w:val="es-MX" w:eastAsia="es-ES"/>
                <w14:ligatures w14:val="none"/>
              </w:rPr>
              <w:t xml:space="preserve">PRIMERO: </w:t>
            </w:r>
            <w:r w:rsidRPr="00610670">
              <w:rPr>
                <w:rFonts w:ascii="Times New Roman" w:eastAsia="Times New Roman" w:hAnsi="Times New Roman" w:cs="Times New Roman"/>
                <w:bCs/>
                <w:kern w:val="0"/>
                <w:sz w:val="22"/>
                <w:szCs w:val="22"/>
                <w:lang w:val="es-MX" w:eastAsia="es-ES"/>
                <w14:ligatures w14:val="none"/>
              </w:rPr>
              <w:t xml:space="preserve">Estas disposiciones resultarán aplicables a las operadoras de pensiones complementarias. </w:t>
            </w:r>
          </w:p>
        </w:tc>
        <w:tc>
          <w:tcPr>
            <w:tcW w:w="1250" w:type="pct"/>
          </w:tcPr>
          <w:p w14:paraId="100196AD" w14:textId="77777777" w:rsidR="00A95B08" w:rsidRPr="00610670" w:rsidRDefault="00A95B08" w:rsidP="00A95B08">
            <w:pPr>
              <w:keepNext/>
              <w:spacing w:line="360" w:lineRule="auto"/>
              <w:jc w:val="both"/>
              <w:outlineLvl w:val="3"/>
              <w:rPr>
                <w:rFonts w:ascii="Times New Roman" w:eastAsia="Times New Roman" w:hAnsi="Times New Roman" w:cs="Times New Roman"/>
                <w:b/>
                <w:kern w:val="0"/>
                <w:sz w:val="22"/>
                <w:szCs w:val="22"/>
                <w:lang w:val="es-MX" w:eastAsia="es-ES"/>
                <w14:ligatures w14:val="none"/>
              </w:rPr>
            </w:pPr>
          </w:p>
        </w:tc>
        <w:tc>
          <w:tcPr>
            <w:tcW w:w="1250" w:type="pct"/>
          </w:tcPr>
          <w:p w14:paraId="4480EB19" w14:textId="77777777" w:rsidR="00A95B08" w:rsidRPr="00610670" w:rsidRDefault="00A95B08" w:rsidP="00A95B08">
            <w:pPr>
              <w:keepNext/>
              <w:spacing w:line="360" w:lineRule="auto"/>
              <w:jc w:val="both"/>
              <w:outlineLvl w:val="3"/>
              <w:rPr>
                <w:rFonts w:ascii="Times New Roman" w:eastAsia="Times New Roman" w:hAnsi="Times New Roman" w:cs="Times New Roman"/>
                <w:b/>
                <w:kern w:val="0"/>
                <w:sz w:val="22"/>
                <w:szCs w:val="22"/>
                <w:lang w:val="es-MX" w:eastAsia="es-ES"/>
                <w14:ligatures w14:val="none"/>
              </w:rPr>
            </w:pPr>
          </w:p>
        </w:tc>
        <w:tc>
          <w:tcPr>
            <w:tcW w:w="1250" w:type="pct"/>
          </w:tcPr>
          <w:p w14:paraId="25D2F5D7" w14:textId="07E8E5B9" w:rsidR="00A95B08" w:rsidRPr="00610670" w:rsidRDefault="00A95B08" w:rsidP="00A95B08">
            <w:pPr>
              <w:keepNext/>
              <w:spacing w:line="360" w:lineRule="auto"/>
              <w:jc w:val="both"/>
              <w:outlineLvl w:val="3"/>
              <w:rPr>
                <w:rFonts w:ascii="Times New Roman" w:eastAsia="Times New Roman" w:hAnsi="Times New Roman" w:cs="Times New Roman"/>
                <w:b/>
                <w:kern w:val="0"/>
                <w:sz w:val="22"/>
                <w:szCs w:val="22"/>
                <w:lang w:val="es-MX" w:eastAsia="es-ES"/>
                <w14:ligatures w14:val="none"/>
              </w:rPr>
            </w:pPr>
            <w:r w:rsidRPr="00610670">
              <w:rPr>
                <w:rFonts w:ascii="Times New Roman" w:eastAsia="Times New Roman" w:hAnsi="Times New Roman" w:cs="Times New Roman"/>
                <w:b/>
                <w:kern w:val="0"/>
                <w:sz w:val="22"/>
                <w:szCs w:val="22"/>
                <w:lang w:val="es-MX" w:eastAsia="es-ES"/>
                <w14:ligatures w14:val="none"/>
              </w:rPr>
              <w:t xml:space="preserve">PRIMERO: </w:t>
            </w:r>
            <w:r w:rsidRPr="00610670">
              <w:rPr>
                <w:rFonts w:ascii="Times New Roman" w:eastAsia="Times New Roman" w:hAnsi="Times New Roman" w:cs="Times New Roman"/>
                <w:bCs/>
                <w:kern w:val="0"/>
                <w:sz w:val="22"/>
                <w:szCs w:val="22"/>
                <w:lang w:val="es-MX" w:eastAsia="es-ES"/>
                <w14:ligatures w14:val="none"/>
              </w:rPr>
              <w:t xml:space="preserve">Estas disposiciones resultarán aplicables a las operadoras de pensiones complementarias. </w:t>
            </w:r>
          </w:p>
        </w:tc>
      </w:tr>
      <w:tr w:rsidR="00051090" w:rsidRPr="00610670" w14:paraId="39E4B5F5" w14:textId="44E3F8A8" w:rsidTr="001A7DEC">
        <w:trPr>
          <w:trHeight w:val="1368"/>
        </w:trPr>
        <w:tc>
          <w:tcPr>
            <w:tcW w:w="1250" w:type="pct"/>
            <w:vMerge w:val="restart"/>
          </w:tcPr>
          <w:p w14:paraId="6393D87A" w14:textId="77777777" w:rsidR="00051090" w:rsidRPr="00610670" w:rsidRDefault="00051090" w:rsidP="00A95B0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t xml:space="preserve">SEGUNDO: </w:t>
            </w:r>
            <w:r w:rsidRPr="00610670">
              <w:rPr>
                <w:rFonts w:ascii="Times New Roman" w:eastAsia="Times New Roman" w:hAnsi="Times New Roman" w:cs="Times New Roman"/>
                <w:kern w:val="0"/>
                <w:sz w:val="22"/>
                <w:szCs w:val="22"/>
                <w:lang w:eastAsia="es-CR"/>
                <w14:ligatures w14:val="none"/>
              </w:rPr>
              <w:t xml:space="preserve">Las operadoras de pensiones complementarias deberán verificar con una periodicidad anual, entre su cartera de afiliados, aquellos que </w:t>
            </w:r>
            <w:r w:rsidRPr="00610670">
              <w:rPr>
                <w:rFonts w:ascii="Times New Roman" w:eastAsia="Times New Roman" w:hAnsi="Times New Roman" w:cs="Times New Roman"/>
                <w:kern w:val="0"/>
                <w:sz w:val="22"/>
                <w:szCs w:val="22"/>
                <w:lang w:eastAsia="es-CR"/>
                <w14:ligatures w14:val="none"/>
              </w:rPr>
              <w:lastRenderedPageBreak/>
              <w:t>no hayan declarado beneficiarios en sus cuentas individuales, a fin de contactarles e informales de la posibilidad de realizar tal designación, adjuntando a dichos comunicados los formularios para tales fines, acompañados de una explicación clara y sencilla de las implicaciones de tal designación.</w:t>
            </w:r>
          </w:p>
        </w:tc>
        <w:tc>
          <w:tcPr>
            <w:tcW w:w="1250" w:type="pct"/>
          </w:tcPr>
          <w:p w14:paraId="623C8903" w14:textId="77777777" w:rsidR="00051090" w:rsidRDefault="00051090" w:rsidP="00A95B08">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[VIDA PLENA]</w:t>
            </w:r>
          </w:p>
          <w:p w14:paraId="6F17234D" w14:textId="77777777" w:rsidR="00051090" w:rsidRPr="00911978" w:rsidRDefault="00051090" w:rsidP="00A95B0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911978">
              <w:rPr>
                <w:rFonts w:ascii="Times New Roman" w:eastAsia="Times New Roman" w:hAnsi="Times New Roman" w:cs="Times New Roman"/>
                <w:b/>
                <w:bCs/>
                <w:kern w:val="0"/>
                <w:sz w:val="22"/>
                <w:szCs w:val="22"/>
                <w:lang w:eastAsia="es-CR"/>
                <w14:ligatures w14:val="none"/>
              </w:rPr>
              <w:t xml:space="preserve"> </w:t>
            </w:r>
            <w:r w:rsidRPr="00911978">
              <w:rPr>
                <w:rFonts w:ascii="Times New Roman" w:eastAsia="Times New Roman" w:hAnsi="Times New Roman" w:cs="Times New Roman"/>
                <w:kern w:val="0"/>
                <w:sz w:val="22"/>
                <w:szCs w:val="22"/>
                <w:lang w:eastAsia="es-CR"/>
                <w14:ligatures w14:val="none"/>
              </w:rPr>
              <w:t xml:space="preserve">Como tema prioritario se considera lo siguiente; actualmente existe un vacío en el proceso de designación de </w:t>
            </w:r>
            <w:r w:rsidRPr="00911978">
              <w:rPr>
                <w:rFonts w:ascii="Times New Roman" w:eastAsia="Times New Roman" w:hAnsi="Times New Roman" w:cs="Times New Roman"/>
                <w:kern w:val="0"/>
                <w:sz w:val="22"/>
                <w:szCs w:val="22"/>
                <w:lang w:eastAsia="es-CR"/>
                <w14:ligatures w14:val="none"/>
              </w:rPr>
              <w:lastRenderedPageBreak/>
              <w:t xml:space="preserve">beneficiarios cuando se efectúa la libre transferencia, ya que el dato de los beneficiarios se registra en SICERE, pero debido que esta información no viene dentro de los archivos de SICERE, el dato de los beneficiarios se debe registrar de manera manual en el sistema de la operadora. Por lo tanto, sería importante que, dentro de este archivo en mención, se adjuntara esta información para así cargarla en conjunto con los datos personales del afiliado. </w:t>
            </w:r>
          </w:p>
          <w:p w14:paraId="0D5ACE4C" w14:textId="34C9FCDB" w:rsidR="00051090" w:rsidRPr="007A714B" w:rsidRDefault="00051090" w:rsidP="00A95B0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911978">
              <w:rPr>
                <w:rFonts w:ascii="Times New Roman" w:eastAsia="Times New Roman" w:hAnsi="Times New Roman" w:cs="Times New Roman"/>
                <w:kern w:val="0"/>
                <w:sz w:val="22"/>
                <w:szCs w:val="22"/>
                <w:lang w:eastAsia="es-CR"/>
                <w14:ligatures w14:val="none"/>
              </w:rPr>
              <w:t>A partir de que la información esté almacenada en las plataformas de SICERE, se le solicita a su representada consultar la posibilidad de que ellos generen y entreguen un archivo que sea compatible con los sistemas de programación de las operadoras para cargar la información directamente en la base de datos de la operadora y de</w:t>
            </w:r>
            <w:r>
              <w:rPr>
                <w:rFonts w:ascii="Times New Roman" w:eastAsia="Times New Roman" w:hAnsi="Times New Roman" w:cs="Times New Roman"/>
                <w:kern w:val="0"/>
                <w:sz w:val="22"/>
                <w:szCs w:val="22"/>
                <w:lang w:eastAsia="es-CR"/>
                <w14:ligatures w14:val="none"/>
              </w:rPr>
              <w:t xml:space="preserve"> </w:t>
            </w:r>
            <w:r w:rsidRPr="007A714B">
              <w:rPr>
                <w:rFonts w:ascii="Times New Roman" w:eastAsia="Times New Roman" w:hAnsi="Times New Roman" w:cs="Times New Roman"/>
                <w:kern w:val="0"/>
                <w:sz w:val="22"/>
                <w:szCs w:val="22"/>
                <w:lang w:eastAsia="es-CR"/>
                <w14:ligatures w14:val="none"/>
              </w:rPr>
              <w:t xml:space="preserve">esta manera no solamente se facilitaría mantener la información lo más actualizada posible, sino que también evitaría reprocesos en dicho proceso. </w:t>
            </w:r>
          </w:p>
          <w:p w14:paraId="04C6225C" w14:textId="42FB59DB" w:rsidR="00051090" w:rsidRPr="00610670" w:rsidRDefault="00051090" w:rsidP="00A95B08">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7A714B">
              <w:rPr>
                <w:rFonts w:ascii="Times New Roman" w:eastAsia="Times New Roman" w:hAnsi="Times New Roman" w:cs="Times New Roman"/>
                <w:kern w:val="0"/>
                <w:sz w:val="22"/>
                <w:szCs w:val="22"/>
                <w:lang w:eastAsia="es-CR"/>
                <w14:ligatures w14:val="none"/>
              </w:rPr>
              <w:t>Brindándonos esta información se obtendrían los beneficiarios que ejercieron libre transferencia, a partir de noviembre de 2020, permitiéndole a las operadoras dedicar esfuerzos para actualizar los beneficiarios de aquellos afiliados anterior a esta fecha</w:t>
            </w:r>
            <w:r>
              <w:rPr>
                <w:rFonts w:ascii="Times New Roman" w:eastAsia="Times New Roman" w:hAnsi="Times New Roman" w:cs="Times New Roman"/>
                <w:kern w:val="0"/>
                <w:sz w:val="22"/>
                <w:szCs w:val="22"/>
                <w:lang w:eastAsia="es-CR"/>
                <w14:ligatures w14:val="none"/>
              </w:rPr>
              <w:t>.</w:t>
            </w:r>
          </w:p>
        </w:tc>
        <w:tc>
          <w:tcPr>
            <w:tcW w:w="1250" w:type="pct"/>
          </w:tcPr>
          <w:p w14:paraId="03417BFF" w14:textId="43E58C8E" w:rsidR="00051090" w:rsidRDefault="000D77FE" w:rsidP="00A95B08">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w:t>
            </w:r>
            <w:r w:rsidR="00051090">
              <w:rPr>
                <w:rFonts w:ascii="Times New Roman" w:eastAsia="Times New Roman" w:hAnsi="Times New Roman" w:cs="Times New Roman"/>
                <w:b/>
                <w:bCs/>
                <w:kern w:val="0"/>
                <w:sz w:val="22"/>
                <w:szCs w:val="22"/>
                <w:lang w:eastAsia="es-CR"/>
                <w14:ligatures w14:val="none"/>
              </w:rPr>
              <w:t>SE ACLARA</w:t>
            </w:r>
            <w:r>
              <w:rPr>
                <w:rFonts w:ascii="Times New Roman" w:eastAsia="Times New Roman" w:hAnsi="Times New Roman" w:cs="Times New Roman"/>
                <w:b/>
                <w:bCs/>
                <w:kern w:val="0"/>
                <w:sz w:val="22"/>
                <w:szCs w:val="22"/>
                <w:lang w:eastAsia="es-CR"/>
                <w14:ligatures w14:val="none"/>
              </w:rPr>
              <w:t>]</w:t>
            </w:r>
          </w:p>
          <w:p w14:paraId="062EB34B" w14:textId="77777777" w:rsidR="001637EF" w:rsidRDefault="00C31E66" w:rsidP="001637EF">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Luego de realizar la consulta a SICERE</w:t>
            </w:r>
            <w:r w:rsidR="0063722C">
              <w:rPr>
                <w:rFonts w:ascii="Times New Roman" w:eastAsia="Times New Roman" w:hAnsi="Times New Roman" w:cs="Times New Roman"/>
                <w:kern w:val="0"/>
                <w:sz w:val="22"/>
                <w:szCs w:val="22"/>
                <w:lang w:eastAsia="es-CR"/>
                <w14:ligatures w14:val="none"/>
              </w:rPr>
              <w:t xml:space="preserve"> mediante oficio </w:t>
            </w:r>
            <w:r w:rsidR="0063722C" w:rsidRPr="0063722C">
              <w:rPr>
                <w:rFonts w:ascii="Times New Roman" w:eastAsia="Times New Roman" w:hAnsi="Times New Roman" w:cs="Times New Roman"/>
                <w:kern w:val="0"/>
                <w:sz w:val="22"/>
                <w:szCs w:val="22"/>
                <w:lang w:eastAsia="es-CR"/>
                <w14:ligatures w14:val="none"/>
              </w:rPr>
              <w:t>SP-187-2025</w:t>
            </w:r>
            <w:r w:rsidR="00A1169B">
              <w:rPr>
                <w:rFonts w:ascii="Times New Roman" w:eastAsia="Times New Roman" w:hAnsi="Times New Roman" w:cs="Times New Roman"/>
                <w:kern w:val="0"/>
                <w:sz w:val="22"/>
                <w:szCs w:val="22"/>
                <w:lang w:eastAsia="es-CR"/>
                <w14:ligatures w14:val="none"/>
              </w:rPr>
              <w:t xml:space="preserve">, se indica </w:t>
            </w:r>
            <w:r w:rsidR="00A536E2">
              <w:rPr>
                <w:rFonts w:ascii="Times New Roman" w:eastAsia="Times New Roman" w:hAnsi="Times New Roman" w:cs="Times New Roman"/>
                <w:kern w:val="0"/>
                <w:sz w:val="22"/>
                <w:szCs w:val="22"/>
                <w:lang w:eastAsia="es-CR"/>
                <w14:ligatures w14:val="none"/>
              </w:rPr>
              <w:t xml:space="preserve">que la información relativa a afiliados se </w:t>
            </w:r>
            <w:r w:rsidR="00A536E2">
              <w:rPr>
                <w:rFonts w:ascii="Times New Roman" w:eastAsia="Times New Roman" w:hAnsi="Times New Roman" w:cs="Times New Roman"/>
                <w:kern w:val="0"/>
                <w:sz w:val="22"/>
                <w:szCs w:val="22"/>
                <w:lang w:eastAsia="es-CR"/>
                <w14:ligatures w14:val="none"/>
              </w:rPr>
              <w:lastRenderedPageBreak/>
              <w:t>encuentra disponible para</w:t>
            </w:r>
            <w:r w:rsidR="001637EF">
              <w:rPr>
                <w:rFonts w:ascii="Times New Roman" w:eastAsia="Times New Roman" w:hAnsi="Times New Roman" w:cs="Times New Roman"/>
                <w:kern w:val="0"/>
                <w:sz w:val="22"/>
                <w:szCs w:val="22"/>
                <w:lang w:eastAsia="es-CR"/>
                <w14:ligatures w14:val="none"/>
              </w:rPr>
              <w:t xml:space="preserve"> </w:t>
            </w:r>
            <w:r w:rsidR="001637EF" w:rsidRPr="001637EF">
              <w:rPr>
                <w:rFonts w:ascii="Times New Roman" w:eastAsia="Times New Roman" w:hAnsi="Times New Roman" w:cs="Times New Roman"/>
                <w:kern w:val="0"/>
                <w:sz w:val="22"/>
                <w:szCs w:val="22"/>
                <w:lang w:eastAsia="es-CR"/>
                <w14:ligatures w14:val="none"/>
              </w:rPr>
              <w:t>las entidades autorizadas mediante un módulo de consulta (uno a uno) dispuesto en el perfil de Oficina Virtual denominado Afiliación Operadoras (OV)</w:t>
            </w:r>
            <w:r w:rsidR="001637EF">
              <w:rPr>
                <w:rFonts w:ascii="Times New Roman" w:eastAsia="Times New Roman" w:hAnsi="Times New Roman" w:cs="Times New Roman"/>
                <w:kern w:val="0"/>
                <w:sz w:val="22"/>
                <w:szCs w:val="22"/>
                <w:lang w:eastAsia="es-CR"/>
                <w14:ligatures w14:val="none"/>
              </w:rPr>
              <w:t>.</w:t>
            </w:r>
          </w:p>
          <w:p w14:paraId="0A559FF2" w14:textId="77777777" w:rsidR="00051090" w:rsidRDefault="001637EF" w:rsidP="001637EF">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No obstante debe</w:t>
            </w:r>
            <w:r w:rsidR="00A776B6">
              <w:rPr>
                <w:rFonts w:ascii="Times New Roman" w:eastAsia="Times New Roman" w:hAnsi="Times New Roman" w:cs="Times New Roman"/>
                <w:kern w:val="0"/>
                <w:sz w:val="22"/>
                <w:szCs w:val="22"/>
                <w:lang w:eastAsia="es-CR"/>
                <w14:ligatures w14:val="none"/>
              </w:rPr>
              <w:t xml:space="preserve"> tenerse claro que la información relativa a afiliados únicamente se registra para casos de libre transferencia</w:t>
            </w:r>
            <w:r w:rsidR="00522B95">
              <w:rPr>
                <w:rFonts w:ascii="Times New Roman" w:eastAsia="Times New Roman" w:hAnsi="Times New Roman" w:cs="Times New Roman"/>
                <w:kern w:val="0"/>
                <w:sz w:val="22"/>
                <w:szCs w:val="22"/>
                <w:lang w:eastAsia="es-CR"/>
                <w14:ligatures w14:val="none"/>
              </w:rPr>
              <w:t xml:space="preserve">, en virtud de lo cual </w:t>
            </w:r>
            <w:r w:rsidR="00A536E2">
              <w:rPr>
                <w:rFonts w:ascii="Times New Roman" w:eastAsia="Times New Roman" w:hAnsi="Times New Roman" w:cs="Times New Roman"/>
                <w:kern w:val="0"/>
                <w:sz w:val="22"/>
                <w:szCs w:val="22"/>
                <w:lang w:eastAsia="es-CR"/>
                <w14:ligatures w14:val="none"/>
              </w:rPr>
              <w:t xml:space="preserve"> </w:t>
            </w:r>
            <w:r w:rsidR="0063722C">
              <w:rPr>
                <w:rFonts w:ascii="Times New Roman" w:eastAsia="Times New Roman" w:hAnsi="Times New Roman" w:cs="Times New Roman"/>
                <w:kern w:val="0"/>
                <w:sz w:val="22"/>
                <w:szCs w:val="22"/>
                <w:lang w:eastAsia="es-CR"/>
                <w14:ligatures w14:val="none"/>
              </w:rPr>
              <w:t xml:space="preserve"> </w:t>
            </w:r>
            <w:r w:rsidR="00EA48A9" w:rsidRPr="00EA48A9">
              <w:rPr>
                <w:rFonts w:ascii="Times New Roman" w:eastAsia="Times New Roman" w:hAnsi="Times New Roman" w:cs="Times New Roman"/>
                <w:kern w:val="0"/>
                <w:sz w:val="22"/>
                <w:szCs w:val="22"/>
                <w:lang w:eastAsia="es-CR"/>
                <w14:ligatures w14:val="none"/>
              </w:rPr>
              <w:t>la información sobre beneficiarios registrada en la Oficina Virtual CCSS no garantiza, que, al momento de acceder a los beneficios del Régimen Obligatorio de Pensiones, ésta haya sido la última voluntad expresada por el afiliado, puesto que como se indicó, la funcionalidad únicamente permite actualizaciones cuando hay de por medio una libre transferencia, siendo que en caso de requerir modificar dichos datos y no existir el deseo de cambiar de entidad, la operadora debe realizar la actualización directamente en sus sistemas.</w:t>
            </w:r>
          </w:p>
          <w:p w14:paraId="7C64AA32" w14:textId="08B1530F" w:rsidR="002A7078" w:rsidRDefault="002A7078" w:rsidP="002A707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En virtud de lo anterior, se deberá proceder en los términos del punto segundo de este acuerdo.</w:t>
            </w:r>
          </w:p>
          <w:p w14:paraId="104AF43E" w14:textId="77777777" w:rsidR="002A7078" w:rsidRDefault="002A7078" w:rsidP="001637EF">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203D73B8" w14:textId="19AF2E52" w:rsidR="002A7078" w:rsidRPr="00FD1B60" w:rsidRDefault="002A7078" w:rsidP="001637EF">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tc>
        <w:tc>
          <w:tcPr>
            <w:tcW w:w="1250" w:type="pct"/>
            <w:vMerge w:val="restart"/>
          </w:tcPr>
          <w:p w14:paraId="259CDB41" w14:textId="77777777" w:rsidR="00051090" w:rsidRDefault="00051090" w:rsidP="00A95B0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lastRenderedPageBreak/>
              <w:t xml:space="preserve">SEGUNDO: </w:t>
            </w:r>
            <w:r w:rsidRPr="00610670">
              <w:rPr>
                <w:rFonts w:ascii="Times New Roman" w:eastAsia="Times New Roman" w:hAnsi="Times New Roman" w:cs="Times New Roman"/>
                <w:kern w:val="0"/>
                <w:sz w:val="22"/>
                <w:szCs w:val="22"/>
                <w:lang w:eastAsia="es-CR"/>
                <w14:ligatures w14:val="none"/>
              </w:rPr>
              <w:t xml:space="preserve">Las operadoras de pensiones complementarias deberán verificar con una periodicidad anual, entre su cartera de afiliados, aquellos que </w:t>
            </w:r>
            <w:r w:rsidRPr="00610670">
              <w:rPr>
                <w:rFonts w:ascii="Times New Roman" w:eastAsia="Times New Roman" w:hAnsi="Times New Roman" w:cs="Times New Roman"/>
                <w:kern w:val="0"/>
                <w:sz w:val="22"/>
                <w:szCs w:val="22"/>
                <w:lang w:eastAsia="es-CR"/>
                <w14:ligatures w14:val="none"/>
              </w:rPr>
              <w:lastRenderedPageBreak/>
              <w:t>no hayan declarado beneficiarios en sus cuentas individuales, a fin de contactarles e informales de la posibilidad de realizar tal designación, adjuntando a dichos comunicados los formularios para tales fines, acompañados de una explicación clara y sencilla de las implicaciones de tal designación.</w:t>
            </w:r>
          </w:p>
          <w:p w14:paraId="6DB95062" w14:textId="7FB7FA6A" w:rsidR="009E12E7" w:rsidRPr="00EB5DD2" w:rsidRDefault="00F36DD3" w:rsidP="00A95B08">
            <w:pPr>
              <w:spacing w:before="100" w:beforeAutospacing="1" w:after="100" w:afterAutospacing="1" w:line="360" w:lineRule="auto"/>
              <w:jc w:val="both"/>
              <w:rPr>
                <w:rFonts w:ascii="Times New Roman" w:eastAsia="Times New Roman" w:hAnsi="Times New Roman" w:cs="Times New Roman"/>
                <w:color w:val="0E2841" w:themeColor="text2"/>
                <w:kern w:val="0"/>
                <w:sz w:val="22"/>
                <w:szCs w:val="22"/>
                <w:lang w:eastAsia="es-CR"/>
                <w14:ligatures w14:val="none"/>
              </w:rPr>
            </w:pPr>
            <w:r w:rsidRPr="00EB5DD2">
              <w:rPr>
                <w:rFonts w:ascii="Times New Roman" w:eastAsia="Times New Roman" w:hAnsi="Times New Roman" w:cs="Times New Roman"/>
                <w:color w:val="0E2841" w:themeColor="text2"/>
                <w:kern w:val="0"/>
                <w:sz w:val="22"/>
                <w:szCs w:val="22"/>
                <w:lang w:eastAsia="es-CR"/>
                <w14:ligatures w14:val="none"/>
              </w:rPr>
              <w:t xml:space="preserve">El formato y </w:t>
            </w:r>
            <w:r w:rsidR="005444DC" w:rsidRPr="00EB5DD2">
              <w:rPr>
                <w:rFonts w:ascii="Times New Roman" w:eastAsia="Times New Roman" w:hAnsi="Times New Roman" w:cs="Times New Roman"/>
                <w:color w:val="0E2841" w:themeColor="text2"/>
                <w:kern w:val="0"/>
                <w:sz w:val="22"/>
                <w:szCs w:val="22"/>
                <w:lang w:eastAsia="es-CR"/>
                <w14:ligatures w14:val="none"/>
              </w:rPr>
              <w:t xml:space="preserve">los </w:t>
            </w:r>
            <w:r w:rsidRPr="00EB5DD2">
              <w:rPr>
                <w:rFonts w:ascii="Times New Roman" w:eastAsia="Times New Roman" w:hAnsi="Times New Roman" w:cs="Times New Roman"/>
                <w:color w:val="0E2841" w:themeColor="text2"/>
                <w:kern w:val="0"/>
                <w:sz w:val="22"/>
                <w:szCs w:val="22"/>
                <w:lang w:eastAsia="es-CR"/>
                <w14:ligatures w14:val="none"/>
              </w:rPr>
              <w:t xml:space="preserve">medios </w:t>
            </w:r>
            <w:r w:rsidR="007E3AC0" w:rsidRPr="00EB5DD2">
              <w:rPr>
                <w:rFonts w:ascii="Times New Roman" w:eastAsia="Times New Roman" w:hAnsi="Times New Roman" w:cs="Times New Roman"/>
                <w:color w:val="0E2841" w:themeColor="text2"/>
                <w:kern w:val="0"/>
                <w:sz w:val="22"/>
                <w:szCs w:val="22"/>
                <w:lang w:eastAsia="es-CR"/>
                <w14:ligatures w14:val="none"/>
              </w:rPr>
              <w:t xml:space="preserve">del </w:t>
            </w:r>
            <w:r w:rsidR="009261BE" w:rsidRPr="00EB5DD2">
              <w:rPr>
                <w:rFonts w:ascii="Times New Roman" w:eastAsia="Times New Roman" w:hAnsi="Times New Roman" w:cs="Times New Roman"/>
                <w:color w:val="0E2841" w:themeColor="text2"/>
                <w:kern w:val="0"/>
                <w:sz w:val="22"/>
                <w:szCs w:val="22"/>
                <w:lang w:eastAsia="es-CR"/>
                <w14:ligatures w14:val="none"/>
              </w:rPr>
              <w:t xml:space="preserve">mecanismo </w:t>
            </w:r>
            <w:r w:rsidR="006F0A91" w:rsidRPr="00EB5DD2">
              <w:rPr>
                <w:rFonts w:ascii="Times New Roman" w:eastAsia="Times New Roman" w:hAnsi="Times New Roman" w:cs="Times New Roman"/>
                <w:color w:val="0E2841" w:themeColor="text2"/>
                <w:kern w:val="0"/>
                <w:sz w:val="22"/>
                <w:szCs w:val="22"/>
                <w:lang w:eastAsia="es-CR"/>
                <w14:ligatures w14:val="none"/>
              </w:rPr>
              <w:t xml:space="preserve">para solicitar </w:t>
            </w:r>
            <w:r w:rsidR="00210379" w:rsidRPr="00EB5DD2">
              <w:rPr>
                <w:rFonts w:ascii="Times New Roman" w:eastAsia="Times New Roman" w:hAnsi="Times New Roman" w:cs="Times New Roman"/>
                <w:color w:val="0E2841" w:themeColor="text2"/>
                <w:kern w:val="0"/>
                <w:sz w:val="22"/>
                <w:szCs w:val="22"/>
                <w:lang w:eastAsia="es-CR"/>
                <w14:ligatures w14:val="none"/>
              </w:rPr>
              <w:t>dicha información debe</w:t>
            </w:r>
            <w:r w:rsidR="007E3AC0" w:rsidRPr="00EB5DD2">
              <w:rPr>
                <w:rFonts w:ascii="Times New Roman" w:eastAsia="Times New Roman" w:hAnsi="Times New Roman" w:cs="Times New Roman"/>
                <w:color w:val="0E2841" w:themeColor="text2"/>
                <w:kern w:val="0"/>
                <w:sz w:val="22"/>
                <w:szCs w:val="22"/>
                <w:lang w:eastAsia="es-CR"/>
                <w14:ligatures w14:val="none"/>
              </w:rPr>
              <w:t xml:space="preserve"> permitir la captura </w:t>
            </w:r>
            <w:r w:rsidR="009261BE" w:rsidRPr="00EB5DD2">
              <w:rPr>
                <w:rFonts w:ascii="Times New Roman" w:eastAsia="Times New Roman" w:hAnsi="Times New Roman" w:cs="Times New Roman"/>
                <w:color w:val="0E2841" w:themeColor="text2"/>
                <w:kern w:val="0"/>
                <w:sz w:val="22"/>
                <w:szCs w:val="22"/>
                <w:lang w:eastAsia="es-CR"/>
                <w14:ligatures w14:val="none"/>
              </w:rPr>
              <w:t xml:space="preserve">y </w:t>
            </w:r>
            <w:r w:rsidR="002F61D6" w:rsidRPr="00EB5DD2">
              <w:rPr>
                <w:rFonts w:ascii="Times New Roman" w:eastAsia="Times New Roman" w:hAnsi="Times New Roman" w:cs="Times New Roman"/>
                <w:color w:val="0E2841" w:themeColor="text2"/>
                <w:kern w:val="0"/>
                <w:sz w:val="22"/>
                <w:szCs w:val="22"/>
                <w:lang w:eastAsia="es-CR"/>
                <w14:ligatures w14:val="none"/>
              </w:rPr>
              <w:t>procesamiento de la información brindada por el afiliado.</w:t>
            </w:r>
          </w:p>
          <w:p w14:paraId="50E88944" w14:textId="45459158" w:rsidR="00210379" w:rsidRPr="00EB5DD2" w:rsidRDefault="00AC321A" w:rsidP="00A95B08">
            <w:pPr>
              <w:spacing w:before="100" w:beforeAutospacing="1" w:after="100" w:afterAutospacing="1" w:line="360" w:lineRule="auto"/>
              <w:jc w:val="both"/>
              <w:rPr>
                <w:rFonts w:ascii="Times New Roman" w:eastAsia="Times New Roman" w:hAnsi="Times New Roman" w:cs="Times New Roman"/>
                <w:color w:val="0E2841" w:themeColor="text2"/>
                <w:kern w:val="0"/>
                <w:sz w:val="22"/>
                <w:szCs w:val="22"/>
                <w:lang w:eastAsia="es-CR"/>
                <w14:ligatures w14:val="none"/>
              </w:rPr>
            </w:pPr>
            <w:r w:rsidRPr="00EB5DD2">
              <w:rPr>
                <w:rFonts w:ascii="Times New Roman" w:eastAsia="Times New Roman" w:hAnsi="Times New Roman" w:cs="Times New Roman"/>
                <w:color w:val="0E2841" w:themeColor="text2"/>
                <w:kern w:val="0"/>
                <w:sz w:val="22"/>
                <w:szCs w:val="22"/>
                <w:lang w:eastAsia="es-CR"/>
                <w14:ligatures w14:val="none"/>
              </w:rPr>
              <w:t>Para tales propósitos p</w:t>
            </w:r>
            <w:r w:rsidR="007B7BA1" w:rsidRPr="00EB5DD2">
              <w:rPr>
                <w:rFonts w:ascii="Times New Roman" w:eastAsia="Times New Roman" w:hAnsi="Times New Roman" w:cs="Times New Roman"/>
                <w:color w:val="0E2841" w:themeColor="text2"/>
                <w:kern w:val="0"/>
                <w:sz w:val="22"/>
                <w:szCs w:val="22"/>
                <w:lang w:eastAsia="es-CR"/>
                <w14:ligatures w14:val="none"/>
              </w:rPr>
              <w:t xml:space="preserve">odrá </w:t>
            </w:r>
            <w:r w:rsidR="00877190" w:rsidRPr="00EB5DD2">
              <w:rPr>
                <w:rFonts w:ascii="Times New Roman" w:eastAsia="Times New Roman" w:hAnsi="Times New Roman" w:cs="Times New Roman"/>
                <w:color w:val="0E2841" w:themeColor="text2"/>
                <w:kern w:val="0"/>
                <w:sz w:val="22"/>
                <w:szCs w:val="22"/>
                <w:lang w:eastAsia="es-CR"/>
                <w14:ligatures w14:val="none"/>
              </w:rPr>
              <w:t xml:space="preserve">utilizarse la información de contacto brindada por los afiliados </w:t>
            </w:r>
            <w:r w:rsidR="009F1067" w:rsidRPr="00EB5DD2">
              <w:rPr>
                <w:rFonts w:ascii="Times New Roman" w:eastAsia="Times New Roman" w:hAnsi="Times New Roman" w:cs="Times New Roman"/>
                <w:color w:val="0E2841" w:themeColor="text2"/>
                <w:kern w:val="0"/>
                <w:sz w:val="22"/>
                <w:szCs w:val="22"/>
                <w:lang w:eastAsia="es-CR"/>
                <w14:ligatures w14:val="none"/>
              </w:rPr>
              <w:t>para la remisión de sus estados de cuenta</w:t>
            </w:r>
            <w:r w:rsidR="00210379" w:rsidRPr="00EB5DD2">
              <w:rPr>
                <w:rFonts w:ascii="Times New Roman" w:eastAsia="Times New Roman" w:hAnsi="Times New Roman" w:cs="Times New Roman"/>
                <w:color w:val="0E2841" w:themeColor="text2"/>
                <w:kern w:val="0"/>
                <w:sz w:val="22"/>
                <w:szCs w:val="22"/>
                <w:lang w:eastAsia="es-CR"/>
                <w14:ligatures w14:val="none"/>
              </w:rPr>
              <w:t>.</w:t>
            </w:r>
          </w:p>
          <w:p w14:paraId="3255D284" w14:textId="331845C4" w:rsidR="001E5EED" w:rsidRPr="00EB5DD2" w:rsidRDefault="001E5EED" w:rsidP="00A95B08">
            <w:pPr>
              <w:spacing w:before="100" w:beforeAutospacing="1" w:after="100" w:afterAutospacing="1" w:line="360" w:lineRule="auto"/>
              <w:jc w:val="both"/>
              <w:rPr>
                <w:rFonts w:ascii="Times New Roman" w:eastAsia="Times New Roman" w:hAnsi="Times New Roman" w:cs="Times New Roman"/>
                <w:color w:val="0E2841" w:themeColor="text2"/>
                <w:kern w:val="0"/>
                <w:sz w:val="22"/>
                <w:szCs w:val="22"/>
                <w:lang w:eastAsia="es-CR"/>
                <w14:ligatures w14:val="none"/>
              </w:rPr>
            </w:pPr>
            <w:r w:rsidRPr="00EB5DD2">
              <w:rPr>
                <w:rFonts w:ascii="Times New Roman" w:eastAsia="Times New Roman" w:hAnsi="Times New Roman" w:cs="Times New Roman"/>
                <w:color w:val="0E2841" w:themeColor="text2"/>
                <w:kern w:val="0"/>
                <w:sz w:val="22"/>
                <w:szCs w:val="22"/>
                <w:lang w:eastAsia="es-CR"/>
                <w14:ligatures w14:val="none"/>
              </w:rPr>
              <w:t>En caso de que las entidades no cuenten con información de contacto de sus afiliados, ni esta se encuentre registrada en la base de datos del Sistema Centralizado de Recaudación (SICERE), deberán agotar, en primer término, los medios convencionales de localización, tales como correo electrónico, llamadas telefónicas, mensajería electrónica o correspondencia física. Si dichos mecanismos resultan infructuosos</w:t>
            </w:r>
            <w:r w:rsidR="00E63DDA" w:rsidRPr="00EB5DD2">
              <w:rPr>
                <w:rFonts w:ascii="Times New Roman" w:eastAsia="Times New Roman" w:hAnsi="Times New Roman" w:cs="Times New Roman"/>
                <w:color w:val="0E2841" w:themeColor="text2"/>
                <w:kern w:val="0"/>
                <w:sz w:val="22"/>
                <w:szCs w:val="22"/>
                <w:lang w:eastAsia="es-CR"/>
                <w14:ligatures w14:val="none"/>
              </w:rPr>
              <w:t>, resguardando siempre la debida evidencia de las acciones ejecutadas</w:t>
            </w:r>
            <w:r w:rsidRPr="00EB5DD2">
              <w:rPr>
                <w:rFonts w:ascii="Times New Roman" w:eastAsia="Times New Roman" w:hAnsi="Times New Roman" w:cs="Times New Roman"/>
                <w:color w:val="0E2841" w:themeColor="text2"/>
                <w:kern w:val="0"/>
                <w:sz w:val="22"/>
                <w:szCs w:val="22"/>
                <w:lang w:eastAsia="es-CR"/>
                <w14:ligatures w14:val="none"/>
              </w:rPr>
              <w:t>, podrán acudir a otras bases de datos o fuentes de información disponibles. Únicamente de manera excepcional, y como último recurso, se permitirá recurrir al uso de redes sociales, medios de comunicación masivos u otros mecanismos que defina la Operadora, siempre que quede evidencia suficiente de la gestión realizada y del contenido de la comunicación.</w:t>
            </w:r>
          </w:p>
          <w:p w14:paraId="78C730C6" w14:textId="6E8C7003" w:rsidR="001E5EED" w:rsidRPr="00863F22" w:rsidRDefault="001E5EED" w:rsidP="00A95B08">
            <w:pPr>
              <w:spacing w:before="100" w:beforeAutospacing="1" w:after="100" w:afterAutospacing="1" w:line="360" w:lineRule="auto"/>
              <w:jc w:val="both"/>
              <w:rPr>
                <w:rFonts w:ascii="Times New Roman" w:eastAsia="Times New Roman" w:hAnsi="Times New Roman" w:cs="Times New Roman"/>
                <w:color w:val="FF0000"/>
                <w:kern w:val="0"/>
                <w:sz w:val="22"/>
                <w:szCs w:val="22"/>
                <w:lang w:eastAsia="es-CR"/>
                <w14:ligatures w14:val="none"/>
              </w:rPr>
            </w:pPr>
          </w:p>
        </w:tc>
      </w:tr>
      <w:tr w:rsidR="00051090" w:rsidRPr="00610670" w14:paraId="3699719C" w14:textId="77777777" w:rsidTr="00370FE7">
        <w:trPr>
          <w:trHeight w:val="4675"/>
        </w:trPr>
        <w:tc>
          <w:tcPr>
            <w:tcW w:w="1250" w:type="pct"/>
            <w:vMerge/>
          </w:tcPr>
          <w:p w14:paraId="466FAA3B"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35DC301C" w14:textId="77777777" w:rsidR="0005109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[POPULAR PENSIONES]</w:t>
            </w:r>
          </w:p>
          <w:p w14:paraId="2095933F" w14:textId="77777777" w:rsidR="00051090" w:rsidRPr="00325E3D" w:rsidRDefault="00051090" w:rsidP="00325E3D">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25E3D">
              <w:rPr>
                <w:rFonts w:ascii="Times New Roman" w:eastAsia="Times New Roman" w:hAnsi="Times New Roman" w:cs="Times New Roman"/>
                <w:kern w:val="0"/>
                <w:sz w:val="22"/>
                <w:szCs w:val="22"/>
                <w:lang w:eastAsia="es-CR"/>
                <w14:ligatures w14:val="none"/>
              </w:rPr>
              <w:t>Al respecto es importante tomar en cuenta el hecho de que una cantidad importante de clientes afiliados en forma automática no cuentan con datos de contacto, y pese a los esfuerzos permanentes llevados a cabo para conseguir dicha información, existe afiliados a los cuales no resulta viable la remisión de este tipo de comunicados por dicho motivo.</w:t>
            </w:r>
          </w:p>
          <w:p w14:paraId="253EAEA8" w14:textId="77777777" w:rsidR="00051090" w:rsidRPr="00325E3D" w:rsidRDefault="00051090" w:rsidP="00325E3D">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25E3D">
              <w:rPr>
                <w:rFonts w:ascii="Times New Roman" w:eastAsia="Times New Roman" w:hAnsi="Times New Roman" w:cs="Times New Roman"/>
                <w:kern w:val="0"/>
                <w:sz w:val="22"/>
                <w:szCs w:val="22"/>
                <w:lang w:eastAsia="es-CR"/>
                <w14:ligatures w14:val="none"/>
              </w:rPr>
              <w:lastRenderedPageBreak/>
              <w:t>Dado lo anterior, consideramos apropiado se ajuste este artículo, de forma tal que se establezca como medio de comunicación el autorizado por el afiliado para la remisión de sus estados de cuenta, y para los casos en los cuales no se cuente con información de contacto, se informe a los mismos por medio de canales de comunicación masivos y otros mecanismos que pueda establecer la Operadora, para llevar el mensaje a estos afiliados.</w:t>
            </w:r>
          </w:p>
          <w:p w14:paraId="12F0B9F6" w14:textId="77777777" w:rsidR="00051090" w:rsidRDefault="00051090" w:rsidP="00325E3D">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25E3D">
              <w:rPr>
                <w:rFonts w:ascii="Times New Roman" w:eastAsia="Times New Roman" w:hAnsi="Times New Roman" w:cs="Times New Roman"/>
                <w:kern w:val="0"/>
                <w:sz w:val="22"/>
                <w:szCs w:val="22"/>
                <w:lang w:eastAsia="es-CR"/>
                <w14:ligatures w14:val="none"/>
              </w:rPr>
              <w:t>Es importante tener presente que estos medios adicionales son un canal que también permitirá reforzar el mensaje a los afiliados de los cuales si se tiene información de contacto.</w:t>
            </w:r>
          </w:p>
          <w:p w14:paraId="44E26988" w14:textId="1ECE5A77" w:rsidR="00051090" w:rsidRPr="00666559" w:rsidRDefault="00051090" w:rsidP="00325E3D">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66559">
              <w:rPr>
                <w:rFonts w:ascii="Times New Roman" w:eastAsia="Times New Roman" w:hAnsi="Times New Roman" w:cs="Times New Roman"/>
                <w:kern w:val="0"/>
                <w:sz w:val="22"/>
                <w:szCs w:val="22"/>
                <w:lang w:eastAsia="es-CR"/>
                <w14:ligatures w14:val="none"/>
              </w:rPr>
              <w:t>Las gestiones masivas que se realicen y las gestiones adicionales que sean establecidas por cada Operadora, deban ser comunicadas en el informe anual de las gestiones efectuadas, que se debe remitir a la Superintendencia.</w:t>
            </w:r>
          </w:p>
        </w:tc>
        <w:tc>
          <w:tcPr>
            <w:tcW w:w="1250" w:type="pct"/>
          </w:tcPr>
          <w:p w14:paraId="55EA942F" w14:textId="77777777" w:rsidR="0005109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[SE ACEPTA]</w:t>
            </w:r>
          </w:p>
          <w:p w14:paraId="3CF766EA" w14:textId="3FAC3A47" w:rsidR="0005109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Se ajusta redacción</w:t>
            </w:r>
          </w:p>
        </w:tc>
        <w:tc>
          <w:tcPr>
            <w:tcW w:w="1250" w:type="pct"/>
            <w:vMerge/>
          </w:tcPr>
          <w:p w14:paraId="7A33F70C"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r>
      <w:tr w:rsidR="00051090" w:rsidRPr="00610670" w14:paraId="21977858" w14:textId="77777777" w:rsidTr="00051090">
        <w:trPr>
          <w:trHeight w:val="4680"/>
        </w:trPr>
        <w:tc>
          <w:tcPr>
            <w:tcW w:w="1250" w:type="pct"/>
            <w:vMerge/>
          </w:tcPr>
          <w:p w14:paraId="2BE2EB3D"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38C9ABCA" w14:textId="77777777" w:rsidR="00051090" w:rsidRPr="00AD0F87"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AD0F87">
              <w:rPr>
                <w:rFonts w:ascii="Times New Roman" w:eastAsia="Times New Roman" w:hAnsi="Times New Roman" w:cs="Times New Roman"/>
                <w:b/>
                <w:bCs/>
                <w:kern w:val="0"/>
                <w:sz w:val="22"/>
                <w:szCs w:val="22"/>
                <w:lang w:eastAsia="es-CR"/>
                <w14:ligatures w14:val="none"/>
              </w:rPr>
              <w:t>[CCSS OPC]</w:t>
            </w:r>
          </w:p>
          <w:p w14:paraId="7B0EC20A" w14:textId="30A80119" w:rsidR="00051090" w:rsidRPr="00AD0F87" w:rsidRDefault="00051090" w:rsidP="00610670">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AD0F87">
              <w:rPr>
                <w:rFonts w:ascii="Times New Roman" w:eastAsia="Times New Roman" w:hAnsi="Times New Roman" w:cs="Times New Roman"/>
                <w:kern w:val="0"/>
                <w:sz w:val="22"/>
                <w:szCs w:val="22"/>
                <w:lang w:eastAsia="es-CR"/>
                <w14:ligatures w14:val="none"/>
              </w:rPr>
              <w:t>Es necesario que la SUPEN defina en conjunto con SICERE el mecanismo para que las Operadoras de Pensiones tengan acceso a la información de los beneficiarios que se obtiene en el proceso de Libre Transferencia. Hoy día esa información solamente puede ser consultada en la Oficina Virtual de SICERE, sin embargo, lo ideal sería que esa información se haga llegar a las Operadoras destino a fin de que pueda cargarse en los sistemas correspondientes como parte de la información de las operaciones entrantes de cada entidad. Esto agilizaría el proceso de registro de dicha información.</w:t>
            </w:r>
          </w:p>
          <w:p w14:paraId="3331D341" w14:textId="77777777" w:rsidR="00051090" w:rsidRPr="00AD0F87" w:rsidRDefault="00051090" w:rsidP="00610670">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3B675B6D" w14:textId="2ACA659A" w:rsidR="0005109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503BFDC0" w14:textId="380698D3" w:rsidR="000D77FE" w:rsidRDefault="000D77FE" w:rsidP="000D77FE">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[SE ACLARA]</w:t>
            </w:r>
            <w:r w:rsidR="00905BF5">
              <w:rPr>
                <w:rFonts w:ascii="Times New Roman" w:eastAsia="Times New Roman" w:hAnsi="Times New Roman" w:cs="Times New Roman"/>
                <w:b/>
                <w:bCs/>
                <w:kern w:val="0"/>
                <w:sz w:val="22"/>
                <w:szCs w:val="22"/>
                <w:lang w:eastAsia="es-CR"/>
                <w14:ligatures w14:val="none"/>
              </w:rPr>
              <w:t xml:space="preserve"> </w:t>
            </w:r>
          </w:p>
          <w:p w14:paraId="087052D0" w14:textId="3CC68574" w:rsidR="000D77FE" w:rsidRDefault="000D77FE" w:rsidP="000D77FE">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 xml:space="preserve">Luego de realizar la consulta a SICERE mediante oficio </w:t>
            </w:r>
            <w:r w:rsidRPr="0063722C">
              <w:rPr>
                <w:rFonts w:ascii="Times New Roman" w:eastAsia="Times New Roman" w:hAnsi="Times New Roman" w:cs="Times New Roman"/>
                <w:kern w:val="0"/>
                <w:sz w:val="22"/>
                <w:szCs w:val="22"/>
                <w:lang w:eastAsia="es-CR"/>
                <w14:ligatures w14:val="none"/>
              </w:rPr>
              <w:t>SP-187-2025</w:t>
            </w:r>
            <w:r>
              <w:rPr>
                <w:rFonts w:ascii="Times New Roman" w:eastAsia="Times New Roman" w:hAnsi="Times New Roman" w:cs="Times New Roman"/>
                <w:kern w:val="0"/>
                <w:sz w:val="22"/>
                <w:szCs w:val="22"/>
                <w:lang w:eastAsia="es-CR"/>
                <w14:ligatures w14:val="none"/>
              </w:rPr>
              <w:t xml:space="preserve">, se indica que la información relativa a afiliados se encuentra disponible para </w:t>
            </w:r>
            <w:r w:rsidRPr="001637EF">
              <w:rPr>
                <w:rFonts w:ascii="Times New Roman" w:eastAsia="Times New Roman" w:hAnsi="Times New Roman" w:cs="Times New Roman"/>
                <w:kern w:val="0"/>
                <w:sz w:val="22"/>
                <w:szCs w:val="22"/>
                <w:lang w:eastAsia="es-CR"/>
                <w14:ligatures w14:val="none"/>
              </w:rPr>
              <w:t>las entidades autorizadas mediante un módulo de consulta (uno a uno) dispuesto en el perfil de Oficina Virtual denominado Afiliación Operadoras (OV)</w:t>
            </w:r>
            <w:r>
              <w:rPr>
                <w:rFonts w:ascii="Times New Roman" w:eastAsia="Times New Roman" w:hAnsi="Times New Roman" w:cs="Times New Roman"/>
                <w:kern w:val="0"/>
                <w:sz w:val="22"/>
                <w:szCs w:val="22"/>
                <w:lang w:eastAsia="es-CR"/>
                <w14:ligatures w14:val="none"/>
              </w:rPr>
              <w:t>.</w:t>
            </w:r>
          </w:p>
          <w:p w14:paraId="79E0F360" w14:textId="77777777" w:rsidR="00051090" w:rsidRDefault="000D77FE" w:rsidP="000D77FE">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 xml:space="preserve">No obstante debe tenerse claro que la información relativa a afiliados únicamente se registra para casos de libre transferencia, en virtud de lo cual   </w:t>
            </w:r>
            <w:r w:rsidRPr="00EA48A9">
              <w:rPr>
                <w:rFonts w:ascii="Times New Roman" w:eastAsia="Times New Roman" w:hAnsi="Times New Roman" w:cs="Times New Roman"/>
                <w:kern w:val="0"/>
                <w:sz w:val="22"/>
                <w:szCs w:val="22"/>
                <w:lang w:eastAsia="es-CR"/>
                <w14:ligatures w14:val="none"/>
              </w:rPr>
              <w:t xml:space="preserve">la información sobre beneficiarios registrada en la Oficina Virtual CCSS no garantiza, que, al momento de acceder a los beneficios del Régimen Obligatorio de Pensiones, ésta haya sido la última voluntad expresada por el afiliado, puesto que como se indicó, la funcionalidad únicamente permite actualizaciones </w:t>
            </w:r>
            <w:r w:rsidRPr="00EA48A9">
              <w:rPr>
                <w:rFonts w:ascii="Times New Roman" w:eastAsia="Times New Roman" w:hAnsi="Times New Roman" w:cs="Times New Roman"/>
                <w:kern w:val="0"/>
                <w:sz w:val="22"/>
                <w:szCs w:val="22"/>
                <w:lang w:eastAsia="es-CR"/>
                <w14:ligatures w14:val="none"/>
              </w:rPr>
              <w:lastRenderedPageBreak/>
              <w:t>cuando hay de por medio una libre transferencia, siendo que en caso de requerir modificar dichos datos y no existir el deseo de cambiar de entidad, la operadora debe realizar la actualización directamente en sus sistemas.</w:t>
            </w:r>
          </w:p>
          <w:p w14:paraId="1A9C15B2" w14:textId="77777777" w:rsidR="002A7078" w:rsidRDefault="002A7078" w:rsidP="002A7078">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En virtud de lo anterior, se deberá proceder en los términos del punto segundo de este acuerdo.</w:t>
            </w:r>
          </w:p>
          <w:p w14:paraId="072B3D64" w14:textId="1C17C3E0" w:rsidR="002A7078" w:rsidRDefault="002A7078" w:rsidP="000D77FE">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vMerge/>
          </w:tcPr>
          <w:p w14:paraId="20DEE22C"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r>
      <w:tr w:rsidR="00051090" w:rsidRPr="00610670" w14:paraId="18A851F8" w14:textId="77777777" w:rsidTr="00E03712">
        <w:trPr>
          <w:trHeight w:val="4680"/>
        </w:trPr>
        <w:tc>
          <w:tcPr>
            <w:tcW w:w="1250" w:type="pct"/>
            <w:vMerge/>
          </w:tcPr>
          <w:p w14:paraId="4241DBEC"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7D7CB04D" w14:textId="77777777" w:rsidR="00051090" w:rsidRPr="00AD0F87" w:rsidRDefault="00051090" w:rsidP="0005109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AD0F87">
              <w:rPr>
                <w:rFonts w:ascii="Times New Roman" w:eastAsia="Times New Roman" w:hAnsi="Times New Roman" w:cs="Times New Roman"/>
                <w:b/>
                <w:bCs/>
                <w:kern w:val="0"/>
                <w:sz w:val="22"/>
                <w:szCs w:val="22"/>
                <w:lang w:eastAsia="es-CR"/>
                <w14:ligatures w14:val="none"/>
              </w:rPr>
              <w:t>[CCSS OPC]</w:t>
            </w:r>
          </w:p>
          <w:p w14:paraId="739ED76E" w14:textId="22808DBA" w:rsidR="00051090" w:rsidRPr="00223425" w:rsidRDefault="00223425" w:rsidP="00610670">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223425">
              <w:rPr>
                <w:rFonts w:ascii="Times New Roman" w:eastAsia="Times New Roman" w:hAnsi="Times New Roman" w:cs="Times New Roman"/>
                <w:kern w:val="0"/>
                <w:sz w:val="22"/>
                <w:szCs w:val="22"/>
                <w:lang w:eastAsia="es-CR"/>
                <w14:ligatures w14:val="none"/>
              </w:rPr>
              <w:t>En relación con el punto SEGUNDO del documento en consulta que indica: “SEGUNDO: Las operadoras de pensiones complementarias deberán verificar con una periodicidad anual, entre su cartera de afiliados, aquellos que no hayan declarado beneficiarios en sus cuentas individuales, a fin de contactarles e informales de la posibilidad de realizar tal designación, adjuntando a dichos comunicados los formularios para tales fines, acompañados de una explicación clara y sencilla de las implicaciones de tal designación”. Se debe valorar si es necesario que en esa comunicación se adjunten formularios dado que hoy día hay mecanismos electrónicos o digitales que facilitan el proceso, por ejemplo, se podría remitir alguna ubicación de sitio Web donde estén disponibles los formularios, entre otros.</w:t>
            </w:r>
          </w:p>
        </w:tc>
        <w:tc>
          <w:tcPr>
            <w:tcW w:w="1250" w:type="pct"/>
          </w:tcPr>
          <w:p w14:paraId="4CC68AD4" w14:textId="77777777" w:rsidR="00051090" w:rsidRDefault="00A05F3B"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SE ACLARA</w:t>
            </w:r>
          </w:p>
          <w:p w14:paraId="5F651CAB" w14:textId="5DBB192B" w:rsidR="00A05F3B" w:rsidRDefault="00DB2C3A" w:rsidP="00610670">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Se</w:t>
            </w:r>
            <w:r w:rsidR="00903476">
              <w:rPr>
                <w:rFonts w:ascii="Times New Roman" w:eastAsia="Times New Roman" w:hAnsi="Times New Roman" w:cs="Times New Roman"/>
                <w:kern w:val="0"/>
                <w:sz w:val="22"/>
                <w:szCs w:val="22"/>
                <w:lang w:eastAsia="es-CR"/>
                <w14:ligatures w14:val="none"/>
              </w:rPr>
              <w:t xml:space="preserve"> admiten el uso de cualquier medio que facilite la captura y procesamiento de la información </w:t>
            </w:r>
            <w:r w:rsidR="00E03FAA">
              <w:rPr>
                <w:rFonts w:ascii="Times New Roman" w:eastAsia="Times New Roman" w:hAnsi="Times New Roman" w:cs="Times New Roman"/>
                <w:kern w:val="0"/>
                <w:sz w:val="22"/>
                <w:szCs w:val="22"/>
                <w:lang w:eastAsia="es-CR"/>
                <w14:ligatures w14:val="none"/>
              </w:rPr>
              <w:t>brindada por el afiliado.</w:t>
            </w:r>
          </w:p>
          <w:p w14:paraId="2FBB89FA" w14:textId="5AB5F812" w:rsidR="000D71BC" w:rsidRPr="000D71BC" w:rsidRDefault="000D71BC"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vMerge/>
          </w:tcPr>
          <w:p w14:paraId="48A90EC4" w14:textId="77777777" w:rsidR="00051090" w:rsidRPr="00610670" w:rsidRDefault="00051090"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r>
      <w:tr w:rsidR="00B41226" w:rsidRPr="00610670" w14:paraId="31C45181" w14:textId="3C3DCE4A" w:rsidTr="006633AC">
        <w:tc>
          <w:tcPr>
            <w:tcW w:w="1250" w:type="pct"/>
          </w:tcPr>
          <w:p w14:paraId="16255897" w14:textId="77777777" w:rsidR="00B41226" w:rsidRPr="00610670"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kern w:val="0"/>
                <w:sz w:val="22"/>
                <w:szCs w:val="22"/>
                <w:lang w:eastAsia="es-CR"/>
                <w14:ligatures w14:val="none"/>
              </w:rPr>
              <w:t>Las entidades deberán informar anualmente a la Superintendencia de Pensiones, durante el mes de noviembre de cada año, el resultado de estas gestiones descritas en el párrafo anterior, incluyendo el listado de los afiliados que finalmente no hayan designado beneficiarios en sus cuentas individuales.</w:t>
            </w:r>
          </w:p>
        </w:tc>
        <w:tc>
          <w:tcPr>
            <w:tcW w:w="1250" w:type="pct"/>
          </w:tcPr>
          <w:p w14:paraId="24484017" w14:textId="77777777" w:rsidR="00201E7B" w:rsidRDefault="00201E7B" w:rsidP="00201E7B">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[CCSS]</w:t>
            </w:r>
          </w:p>
          <w:p w14:paraId="1875A560" w14:textId="02CF7426" w:rsidR="00B41226" w:rsidRPr="00610670" w:rsidRDefault="00201E7B" w:rsidP="00201E7B">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995531">
              <w:rPr>
                <w:rFonts w:ascii="Times New Roman" w:eastAsia="Times New Roman" w:hAnsi="Times New Roman" w:cs="Times New Roman"/>
                <w:kern w:val="0"/>
                <w:sz w:val="22"/>
                <w:szCs w:val="22"/>
                <w:lang w:eastAsia="es-CR"/>
                <w14:ligatures w14:val="none"/>
              </w:rPr>
              <w:t>En ese mismo numeral, valorar si es más conveniente que el resultado de las acciones se remita a SUPEN durante el primer trimestre cada año, para poder informar los resultados del año calendario anterior completo.</w:t>
            </w:r>
          </w:p>
        </w:tc>
        <w:tc>
          <w:tcPr>
            <w:tcW w:w="1250" w:type="pct"/>
          </w:tcPr>
          <w:p w14:paraId="47DA875B" w14:textId="77777777" w:rsidR="00B41226" w:rsidRDefault="006E754E"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SE ACEPTA</w:t>
            </w:r>
          </w:p>
          <w:p w14:paraId="296A06CB" w14:textId="27C37D4E" w:rsidR="006E754E" w:rsidRPr="0009078E" w:rsidRDefault="0009078E"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Se cambia redacción</w:t>
            </w:r>
          </w:p>
        </w:tc>
        <w:tc>
          <w:tcPr>
            <w:tcW w:w="1250" w:type="pct"/>
          </w:tcPr>
          <w:p w14:paraId="2A1FB6D7" w14:textId="0D5A76A7" w:rsidR="00B41226" w:rsidRPr="00610670"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kern w:val="0"/>
                <w:sz w:val="22"/>
                <w:szCs w:val="22"/>
                <w:lang w:eastAsia="es-CR"/>
                <w14:ligatures w14:val="none"/>
              </w:rPr>
              <w:t xml:space="preserve">Las entidades deberán informar anualmente a la </w:t>
            </w:r>
            <w:r w:rsidRPr="00C6194A">
              <w:rPr>
                <w:rFonts w:ascii="Times New Roman" w:eastAsia="Times New Roman" w:hAnsi="Times New Roman" w:cs="Times New Roman"/>
                <w:color w:val="000000" w:themeColor="text1"/>
                <w:kern w:val="0"/>
                <w:sz w:val="22"/>
                <w:szCs w:val="22"/>
                <w:lang w:eastAsia="es-CR"/>
                <w14:ligatures w14:val="none"/>
              </w:rPr>
              <w:t xml:space="preserve">Superintendencia de Pensiones, </w:t>
            </w:r>
            <w:r w:rsidRPr="00C6194A">
              <w:rPr>
                <w:rFonts w:ascii="Times New Roman" w:eastAsia="Times New Roman" w:hAnsi="Times New Roman" w:cs="Times New Roman"/>
                <w:b/>
                <w:bCs/>
                <w:color w:val="000000" w:themeColor="text1"/>
                <w:kern w:val="0"/>
                <w:sz w:val="22"/>
                <w:szCs w:val="22"/>
                <w:lang w:eastAsia="es-CR"/>
                <w14:ligatures w14:val="none"/>
              </w:rPr>
              <w:t xml:space="preserve">durante el </w:t>
            </w:r>
            <w:r w:rsidR="00F85A30" w:rsidRPr="00C6194A">
              <w:rPr>
                <w:rFonts w:ascii="Times New Roman" w:eastAsia="Times New Roman" w:hAnsi="Times New Roman" w:cs="Times New Roman"/>
                <w:b/>
                <w:bCs/>
                <w:color w:val="000000" w:themeColor="text1"/>
                <w:kern w:val="0"/>
                <w:sz w:val="22"/>
                <w:szCs w:val="22"/>
                <w:lang w:eastAsia="es-CR"/>
                <w14:ligatures w14:val="none"/>
              </w:rPr>
              <w:t>primer trimestre de cada año</w:t>
            </w:r>
            <w:r w:rsidRPr="00C6194A">
              <w:rPr>
                <w:rFonts w:ascii="Times New Roman" w:eastAsia="Times New Roman" w:hAnsi="Times New Roman" w:cs="Times New Roman"/>
                <w:color w:val="000000" w:themeColor="text1"/>
                <w:kern w:val="0"/>
                <w:sz w:val="22"/>
                <w:szCs w:val="22"/>
                <w:lang w:eastAsia="es-CR"/>
                <w14:ligatures w14:val="none"/>
              </w:rPr>
              <w:t xml:space="preserve">, el resultado de estas gestiones descritas en el párrafo </w:t>
            </w:r>
            <w:r w:rsidRPr="00610670">
              <w:rPr>
                <w:rFonts w:ascii="Times New Roman" w:eastAsia="Times New Roman" w:hAnsi="Times New Roman" w:cs="Times New Roman"/>
                <w:kern w:val="0"/>
                <w:sz w:val="22"/>
                <w:szCs w:val="22"/>
                <w:lang w:eastAsia="es-CR"/>
                <w14:ligatures w14:val="none"/>
              </w:rPr>
              <w:t>anterior, incluyendo el listado de los afiliados que finalmente no hayan designado beneficiarios en sus cuentas individuales.</w:t>
            </w:r>
          </w:p>
        </w:tc>
      </w:tr>
      <w:tr w:rsidR="005D1DDF" w:rsidRPr="00610670" w14:paraId="2AB4C712" w14:textId="75C636A8" w:rsidTr="00C6194A">
        <w:trPr>
          <w:trHeight w:val="802"/>
        </w:trPr>
        <w:tc>
          <w:tcPr>
            <w:tcW w:w="1250" w:type="pct"/>
            <w:vMerge w:val="restart"/>
          </w:tcPr>
          <w:p w14:paraId="537781A0" w14:textId="77777777" w:rsidR="005D1DDF" w:rsidRPr="00610670" w:rsidRDefault="005D1DDF"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t>TERCERO:</w:t>
            </w:r>
            <w:r w:rsidRPr="00610670">
              <w:rPr>
                <w:rFonts w:ascii="Times New Roman" w:eastAsia="Times New Roman" w:hAnsi="Times New Roman" w:cs="Times New Roman"/>
                <w:kern w:val="0"/>
                <w:sz w:val="22"/>
                <w:szCs w:val="22"/>
                <w:lang w:eastAsia="es-CR"/>
                <w14:ligatures w14:val="none"/>
              </w:rPr>
              <w:t xml:space="preserve"> Cuando se lleve a cabo la libre transferencia, las operadoras de pensiones complementarias deberán </w:t>
            </w:r>
            <w:r w:rsidRPr="00610670">
              <w:rPr>
                <w:rFonts w:ascii="Times New Roman" w:eastAsia="Times New Roman" w:hAnsi="Times New Roman" w:cs="Times New Roman"/>
                <w:kern w:val="0"/>
                <w:sz w:val="22"/>
                <w:szCs w:val="22"/>
                <w:lang w:eastAsia="es-CR"/>
                <w14:ligatures w14:val="none"/>
              </w:rPr>
              <w:lastRenderedPageBreak/>
              <w:t>informarles a los afiliados, de forma clara y de fácil comprensión, la posibilidad de realizar la designación de beneficiarios, incluyendo sus implicaciones, y referirles a los formularios para tales fines.</w:t>
            </w:r>
          </w:p>
        </w:tc>
        <w:tc>
          <w:tcPr>
            <w:tcW w:w="1250" w:type="pct"/>
          </w:tcPr>
          <w:p w14:paraId="1E407F71" w14:textId="77777777" w:rsidR="005D1DDF" w:rsidRDefault="005D1DDF"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C804C8">
              <w:rPr>
                <w:rFonts w:ascii="Times New Roman" w:eastAsia="Times New Roman" w:hAnsi="Times New Roman" w:cs="Times New Roman"/>
                <w:b/>
                <w:bCs/>
                <w:kern w:val="0"/>
                <w:sz w:val="22"/>
                <w:szCs w:val="22"/>
                <w:lang w:eastAsia="es-CR"/>
                <w14:ligatures w14:val="none"/>
              </w:rPr>
              <w:lastRenderedPageBreak/>
              <w:t>[</w:t>
            </w:r>
            <w:r>
              <w:rPr>
                <w:rFonts w:ascii="Times New Roman" w:eastAsia="Times New Roman" w:hAnsi="Times New Roman" w:cs="Times New Roman"/>
                <w:b/>
                <w:bCs/>
                <w:kern w:val="0"/>
                <w:sz w:val="22"/>
                <w:szCs w:val="22"/>
                <w:lang w:eastAsia="es-CR"/>
                <w14:ligatures w14:val="none"/>
              </w:rPr>
              <w:t>BCR OPC</w:t>
            </w:r>
            <w:r w:rsidRPr="00C804C8">
              <w:rPr>
                <w:rFonts w:ascii="Times New Roman" w:eastAsia="Times New Roman" w:hAnsi="Times New Roman" w:cs="Times New Roman"/>
                <w:b/>
                <w:bCs/>
                <w:kern w:val="0"/>
                <w:sz w:val="22"/>
                <w:szCs w:val="22"/>
                <w:lang w:eastAsia="es-CR"/>
                <w14:ligatures w14:val="none"/>
              </w:rPr>
              <w:t>]</w:t>
            </w:r>
          </w:p>
          <w:p w14:paraId="6C539C73" w14:textId="63FC3481" w:rsidR="005D1DDF" w:rsidRPr="00C804C8" w:rsidRDefault="005D1DDF" w:rsidP="00F429EC">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F429EC">
              <w:rPr>
                <w:rFonts w:ascii="Times New Roman" w:eastAsia="Times New Roman" w:hAnsi="Times New Roman" w:cs="Times New Roman"/>
                <w:kern w:val="0"/>
                <w:sz w:val="22"/>
                <w:szCs w:val="22"/>
                <w:lang w:eastAsia="es-CR"/>
                <w14:ligatures w14:val="none"/>
              </w:rPr>
              <w:t xml:space="preserve"> Con respecto al artículo tercero propuesto, actualmente en el proceso de </w:t>
            </w:r>
            <w:r w:rsidRPr="00F429EC">
              <w:rPr>
                <w:rFonts w:ascii="Times New Roman" w:eastAsia="Times New Roman" w:hAnsi="Times New Roman" w:cs="Times New Roman"/>
                <w:kern w:val="0"/>
                <w:sz w:val="22"/>
                <w:szCs w:val="22"/>
                <w:lang w:eastAsia="es-CR"/>
                <w14:ligatures w14:val="none"/>
              </w:rPr>
              <w:lastRenderedPageBreak/>
              <w:t>Libre Transferencia que se realiza por las diferentes formas de afiliación disponibles en la oficina virtual de SICERE se solicita el registro de beneficiarios como un requisito obligatorio para poder ejecutar el traslado de una entidad supervisada a otra. Preocupa a esta operadora que esta designación sea obligatoria cuando existen casos en los que el afiliado no desea registrar beneficiarios en sus fondos, por lo que se considera importante que exista la opción en la que el afiliado pueda declarar que no desea registrar beneficiarios.</w:t>
            </w:r>
          </w:p>
        </w:tc>
        <w:tc>
          <w:tcPr>
            <w:tcW w:w="1250" w:type="pct"/>
          </w:tcPr>
          <w:p w14:paraId="2F33E600" w14:textId="77777777" w:rsidR="005D1DDF" w:rsidRDefault="005D1DDF"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SE ACLARA</w:t>
            </w:r>
          </w:p>
          <w:p w14:paraId="6A3FADFC" w14:textId="77777777" w:rsidR="005D1DDF" w:rsidRDefault="005D1DDF"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 xml:space="preserve">El nombramiento de beneficiarios por parte de los afiliados es una actividad </w:t>
            </w:r>
            <w:r>
              <w:rPr>
                <w:rFonts w:ascii="Times New Roman" w:eastAsia="Times New Roman" w:hAnsi="Times New Roman" w:cs="Times New Roman"/>
                <w:kern w:val="0"/>
                <w:sz w:val="22"/>
                <w:szCs w:val="22"/>
                <w:lang w:eastAsia="es-CR"/>
                <w14:ligatures w14:val="none"/>
              </w:rPr>
              <w:lastRenderedPageBreak/>
              <w:t>enteramente voluntaria, nunca podría establecerse de forma obligatoria.</w:t>
            </w:r>
          </w:p>
          <w:p w14:paraId="55B0860E" w14:textId="77777777" w:rsidR="004B7F13"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6AB9D8F8" w14:textId="77777777" w:rsidR="004B7F13"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2EBCE72E" w14:textId="77777777" w:rsidR="004B7F13"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36278995" w14:textId="77777777" w:rsidR="004B7F13"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5C75E445" w14:textId="77777777" w:rsidR="004B7F13"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1B7D62FD" w14:textId="7DE61CF4" w:rsidR="004B7F13" w:rsidRPr="002B08B2" w:rsidRDefault="004B7F13"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tc>
        <w:tc>
          <w:tcPr>
            <w:tcW w:w="1250" w:type="pct"/>
            <w:vMerge w:val="restart"/>
          </w:tcPr>
          <w:p w14:paraId="502BCED4" w14:textId="0555DCB4" w:rsidR="005D1DDF" w:rsidRPr="00610670" w:rsidRDefault="005D1DDF"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lastRenderedPageBreak/>
              <w:t>TERCERO:</w:t>
            </w:r>
            <w:r w:rsidRPr="00610670">
              <w:rPr>
                <w:rFonts w:ascii="Times New Roman" w:eastAsia="Times New Roman" w:hAnsi="Times New Roman" w:cs="Times New Roman"/>
                <w:kern w:val="0"/>
                <w:sz w:val="22"/>
                <w:szCs w:val="22"/>
                <w:lang w:eastAsia="es-CR"/>
                <w14:ligatures w14:val="none"/>
              </w:rPr>
              <w:t xml:space="preserve"> Cuando se lleve a cabo la libre transferencia, las operadoras de pensiones complementarias deberán </w:t>
            </w:r>
            <w:r w:rsidRPr="00610670">
              <w:rPr>
                <w:rFonts w:ascii="Times New Roman" w:eastAsia="Times New Roman" w:hAnsi="Times New Roman" w:cs="Times New Roman"/>
                <w:kern w:val="0"/>
                <w:sz w:val="22"/>
                <w:szCs w:val="22"/>
                <w:lang w:eastAsia="es-CR"/>
                <w14:ligatures w14:val="none"/>
              </w:rPr>
              <w:lastRenderedPageBreak/>
              <w:t>informarles a los afiliados, de forma clara y de fácil comprensión, la posibilidad de realizar la designación de beneficiarios, incluyendo sus implicaciones, y referirles a los formularios para tales fines.</w:t>
            </w:r>
          </w:p>
        </w:tc>
      </w:tr>
      <w:tr w:rsidR="000C4E35" w:rsidRPr="00610670" w14:paraId="7283BF7F" w14:textId="77777777" w:rsidTr="005D1DDF">
        <w:trPr>
          <w:trHeight w:val="5400"/>
        </w:trPr>
        <w:tc>
          <w:tcPr>
            <w:tcW w:w="1250" w:type="pct"/>
            <w:vMerge/>
          </w:tcPr>
          <w:p w14:paraId="5B5B0CD3" w14:textId="77777777" w:rsidR="000C4E35" w:rsidRPr="00610670" w:rsidRDefault="000C4E35"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0B128944" w14:textId="77777777" w:rsidR="000C4E35" w:rsidRDefault="000C4E35"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[CCSS]</w:t>
            </w:r>
          </w:p>
          <w:p w14:paraId="36F217E6" w14:textId="5DC73F64" w:rsidR="000C4E35" w:rsidRPr="00995531" w:rsidRDefault="000C4E35" w:rsidP="00995531">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995531">
              <w:rPr>
                <w:rFonts w:ascii="Times New Roman" w:eastAsia="Times New Roman" w:hAnsi="Times New Roman" w:cs="Times New Roman"/>
                <w:kern w:val="0"/>
                <w:sz w:val="22"/>
                <w:szCs w:val="22"/>
                <w:lang w:eastAsia="es-CR"/>
                <w14:ligatures w14:val="none"/>
              </w:rPr>
              <w:t>Respecto a punto TERCERO del borrador remitido, que indica: “TERCERO: Cuando se lleve a cabo la libre transferencia, las operadoras de pensiones complementarias deberán informarles a los afiliados, de forma clara y de fácil comprensión, la posibilidad de realizar la designación de beneficiarios, incluyendo sus implicaciones, y referirles a los formularios para tales fines.”, se debe considerar si es verdaderamente necesaria esta actividad dado que justamente para el proceso de Libre Transferencia es requisito obligatorio en la Oficina Virtual de SICERE, que se designen beneficiarios, de lo contrario, no es posible ejecutar algún traslado, entonces no es un posibilidad la designación si no una obligatoriedad en este proceso.</w:t>
            </w:r>
          </w:p>
          <w:p w14:paraId="4F07EB32" w14:textId="30A649D2" w:rsidR="000C4E35" w:rsidRPr="00C804C8" w:rsidRDefault="000C4E35" w:rsidP="00995531">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1E02D9DB" w14:textId="77777777" w:rsidR="000C4E35" w:rsidRDefault="000C4E35"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t>SE ACLARA</w:t>
            </w:r>
          </w:p>
          <w:p w14:paraId="0C1EF8BE" w14:textId="73155A1C" w:rsidR="000C4E35" w:rsidRDefault="000C4E35"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La designación de beneficiarios por parte de los afiliados no es un acto obligatorio sino voluntario.</w:t>
            </w:r>
          </w:p>
          <w:p w14:paraId="5A48A9C9" w14:textId="3EB036F9" w:rsidR="00384F5B" w:rsidRDefault="00384F5B"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84F5B">
              <w:rPr>
                <w:rFonts w:ascii="Times New Roman" w:eastAsia="Times New Roman" w:hAnsi="Times New Roman" w:cs="Times New Roman"/>
                <w:kern w:val="0"/>
                <w:sz w:val="22"/>
                <w:szCs w:val="22"/>
                <w:lang w:eastAsia="es-CR"/>
                <w14:ligatures w14:val="none"/>
              </w:rPr>
              <w:t>No obstante debe tenerse claro que la información relativa a afiliados únicamente se registra para casos de libre transferencia, en virtud de lo cual la información sobre beneficiarios registrada en la Oficina Virtual CCSS no garantiza, que al momento de acceder a los beneficios del Régimen Obligatorio de Pensiones, ésta haya sido la última voluntad expresada por el afiliado, puesto que la funcionalidad únicamente permite actualizaciones cuando hay de por medio una libre transferencia, siendo que en caso de requerir modificar dichos datos y no existir el deseo de cambiar de entidad, la operadora debe realizar la actualización directamente en sus sistemas.</w:t>
            </w:r>
          </w:p>
          <w:p w14:paraId="4731DDFF" w14:textId="77777777" w:rsidR="00384F5B" w:rsidRDefault="00384F5B"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p w14:paraId="7DD6B042" w14:textId="1C3CCE70" w:rsidR="000C4E35" w:rsidRPr="0008686A" w:rsidRDefault="000C4E35"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tc>
        <w:tc>
          <w:tcPr>
            <w:tcW w:w="1250" w:type="pct"/>
            <w:vMerge/>
          </w:tcPr>
          <w:p w14:paraId="3034BEAD" w14:textId="77777777" w:rsidR="000C4E35" w:rsidRPr="00610670" w:rsidRDefault="000C4E35"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r>
      <w:tr w:rsidR="00B41226" w:rsidRPr="00610670" w14:paraId="32C6DF8E" w14:textId="7CD88764" w:rsidTr="006633AC">
        <w:tc>
          <w:tcPr>
            <w:tcW w:w="1250" w:type="pct"/>
          </w:tcPr>
          <w:p w14:paraId="7445BF40" w14:textId="77777777" w:rsidR="00B41226" w:rsidRPr="00610670"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t xml:space="preserve">CUARTO: </w:t>
            </w:r>
            <w:r w:rsidRPr="00610670">
              <w:rPr>
                <w:rFonts w:ascii="Times New Roman" w:eastAsia="Times New Roman" w:hAnsi="Times New Roman" w:cs="Times New Roman"/>
                <w:kern w:val="0"/>
                <w:sz w:val="22"/>
                <w:szCs w:val="22"/>
                <w:lang w:eastAsia="es-CR"/>
                <w14:ligatures w14:val="none"/>
              </w:rPr>
              <w:t xml:space="preserve">Las operadoras de pensiones complementarias deberán disponer de mecanismos de fácil acceso para que los afiliados que así lo decidan realicen el </w:t>
            </w:r>
            <w:r w:rsidRPr="00610670">
              <w:rPr>
                <w:rFonts w:ascii="Times New Roman" w:eastAsia="Times New Roman" w:hAnsi="Times New Roman" w:cs="Times New Roman"/>
                <w:kern w:val="0"/>
                <w:sz w:val="22"/>
                <w:szCs w:val="22"/>
                <w:lang w:eastAsia="es-CR"/>
                <w14:ligatures w14:val="none"/>
              </w:rPr>
              <w:lastRenderedPageBreak/>
              <w:t xml:space="preserve">nombramiento de beneficiarios de una manera ágil y sencilla. </w:t>
            </w:r>
          </w:p>
        </w:tc>
        <w:tc>
          <w:tcPr>
            <w:tcW w:w="1250" w:type="pct"/>
          </w:tcPr>
          <w:p w14:paraId="1CD51675" w14:textId="77777777" w:rsidR="00B41226" w:rsidRDefault="00B41226"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[VIDA PLENA]</w:t>
            </w:r>
          </w:p>
          <w:p w14:paraId="4A50BF81" w14:textId="77777777" w:rsidR="00B41226" w:rsidRPr="00353BD3"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53BD3">
              <w:rPr>
                <w:rFonts w:ascii="Times New Roman" w:eastAsia="Times New Roman" w:hAnsi="Times New Roman" w:cs="Times New Roman"/>
                <w:kern w:val="0"/>
                <w:sz w:val="22"/>
                <w:szCs w:val="22"/>
                <w:lang w:eastAsia="es-CR"/>
                <w14:ligatures w14:val="none"/>
              </w:rPr>
              <w:t xml:space="preserve">Actualmente las vías para hacer cambios o actualizar información sustancial, se realiza ya sea de forma presencial o </w:t>
            </w:r>
            <w:r w:rsidRPr="00353BD3">
              <w:rPr>
                <w:rFonts w:ascii="Times New Roman" w:eastAsia="Times New Roman" w:hAnsi="Times New Roman" w:cs="Times New Roman"/>
                <w:kern w:val="0"/>
                <w:sz w:val="22"/>
                <w:szCs w:val="22"/>
                <w:lang w:eastAsia="es-CR"/>
                <w14:ligatures w14:val="none"/>
              </w:rPr>
              <w:lastRenderedPageBreak/>
              <w:t>mediante la firma digital por parte del afiliado (a), lo cual no necesariamente corresponde a un trámite ágil y sencillo como se pretende para este proceso.</w:t>
            </w:r>
          </w:p>
          <w:p w14:paraId="35CBD3A4" w14:textId="16CF8664" w:rsidR="00B41226" w:rsidRPr="00353BD3"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353BD3">
              <w:rPr>
                <w:rFonts w:ascii="Times New Roman" w:eastAsia="Times New Roman" w:hAnsi="Times New Roman" w:cs="Times New Roman"/>
                <w:kern w:val="0"/>
                <w:sz w:val="22"/>
                <w:szCs w:val="22"/>
                <w:lang w:eastAsia="es-CR"/>
                <w14:ligatures w14:val="none"/>
              </w:rPr>
              <w:t>Por ende, es importante que, el Ente Supervisor también habilite o señale otras vías posibles; específicamente para este proceso, similares a las que realizan otros tipos de empresas, como por ejemplo que se acepten firmas directamente en dispositivos de pantalla táctil (tabletas) o fotos del afiliado con su cédula de identidad visible por ambos lados. Lo anterior, facilitaría que el trámite sea rápido y práctico tanto para el afiliado como para la operadora.</w:t>
            </w:r>
          </w:p>
          <w:p w14:paraId="541FD8BF" w14:textId="0E417155" w:rsidR="00B41226" w:rsidRPr="00610670" w:rsidRDefault="00B41226"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5FD58404" w14:textId="7AEC132D" w:rsidR="00B41226" w:rsidRDefault="00B41226"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Pr>
                <w:rFonts w:ascii="Times New Roman" w:eastAsia="Times New Roman" w:hAnsi="Times New Roman" w:cs="Times New Roman"/>
                <w:b/>
                <w:bCs/>
                <w:kern w:val="0"/>
                <w:sz w:val="22"/>
                <w:szCs w:val="22"/>
                <w:lang w:eastAsia="es-CR"/>
                <w14:ligatures w14:val="none"/>
              </w:rPr>
              <w:lastRenderedPageBreak/>
              <w:t xml:space="preserve">SE ACLARA         </w:t>
            </w:r>
          </w:p>
          <w:p w14:paraId="636DD15D" w14:textId="78196CC2" w:rsidR="00B41226" w:rsidRPr="00500667"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Pr>
                <w:rFonts w:ascii="Times New Roman" w:eastAsia="Times New Roman" w:hAnsi="Times New Roman" w:cs="Times New Roman"/>
                <w:kern w:val="0"/>
                <w:sz w:val="22"/>
                <w:szCs w:val="22"/>
                <w:lang w:eastAsia="es-CR"/>
                <w14:ligatures w14:val="none"/>
              </w:rPr>
              <w:t xml:space="preserve">Dado que el nombramiento de beneficiarios implica una disposición de voluntad del afiliado respecto de los </w:t>
            </w:r>
            <w:r>
              <w:rPr>
                <w:rFonts w:ascii="Times New Roman" w:eastAsia="Times New Roman" w:hAnsi="Times New Roman" w:cs="Times New Roman"/>
                <w:kern w:val="0"/>
                <w:sz w:val="22"/>
                <w:szCs w:val="22"/>
                <w:lang w:eastAsia="es-CR"/>
                <w14:ligatures w14:val="none"/>
              </w:rPr>
              <w:lastRenderedPageBreak/>
              <w:t xml:space="preserve">recursos administrados para evitar conflictos futuros, </w:t>
            </w:r>
            <w:r w:rsidR="00D94438">
              <w:rPr>
                <w:rFonts w:ascii="Times New Roman" w:eastAsia="Times New Roman" w:hAnsi="Times New Roman" w:cs="Times New Roman"/>
                <w:kern w:val="0"/>
                <w:sz w:val="22"/>
                <w:szCs w:val="22"/>
                <w:lang w:eastAsia="es-CR"/>
                <w14:ligatures w14:val="none"/>
              </w:rPr>
              <w:t xml:space="preserve">el </w:t>
            </w:r>
            <w:r>
              <w:rPr>
                <w:rFonts w:ascii="Times New Roman" w:eastAsia="Times New Roman" w:hAnsi="Times New Roman" w:cs="Times New Roman"/>
                <w:kern w:val="0"/>
                <w:sz w:val="22"/>
                <w:szCs w:val="22"/>
                <w:lang w:eastAsia="es-CR"/>
                <w14:ligatures w14:val="none"/>
              </w:rPr>
              <w:t>método que establezca la entidad para agilizar el nombramiento de beneficiarios debe garantizar la identidad del afiliado.</w:t>
            </w:r>
          </w:p>
          <w:p w14:paraId="646E1CB7" w14:textId="77777777" w:rsidR="00B41226" w:rsidRDefault="00B41226"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p w14:paraId="1784D2B6" w14:textId="1C785A61" w:rsidR="00B41226" w:rsidRPr="00610670" w:rsidRDefault="00B41226" w:rsidP="00B41226">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6B2BD1EE" w14:textId="77777777" w:rsidR="00B41226" w:rsidRDefault="00B41226"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lastRenderedPageBreak/>
              <w:t xml:space="preserve">CUARTO: </w:t>
            </w:r>
            <w:r w:rsidRPr="00610670">
              <w:rPr>
                <w:rFonts w:ascii="Times New Roman" w:eastAsia="Times New Roman" w:hAnsi="Times New Roman" w:cs="Times New Roman"/>
                <w:kern w:val="0"/>
                <w:sz w:val="22"/>
                <w:szCs w:val="22"/>
                <w:lang w:eastAsia="es-CR"/>
                <w14:ligatures w14:val="none"/>
              </w:rPr>
              <w:t xml:space="preserve">Las operadoras de pensiones complementarias deberán disponer de mecanismos de fácil acceso para que los afiliados que así lo decidan realicen el </w:t>
            </w:r>
            <w:r w:rsidRPr="00610670">
              <w:rPr>
                <w:rFonts w:ascii="Times New Roman" w:eastAsia="Times New Roman" w:hAnsi="Times New Roman" w:cs="Times New Roman"/>
                <w:kern w:val="0"/>
                <w:sz w:val="22"/>
                <w:szCs w:val="22"/>
                <w:lang w:eastAsia="es-CR"/>
                <w14:ligatures w14:val="none"/>
              </w:rPr>
              <w:lastRenderedPageBreak/>
              <w:t xml:space="preserve">nombramiento de beneficiarios de una manera ágil y sencilla. </w:t>
            </w:r>
          </w:p>
          <w:p w14:paraId="19CF1099" w14:textId="6EE746AB" w:rsidR="00131E2B" w:rsidRPr="003B2453" w:rsidRDefault="00131E2B" w:rsidP="00B41226">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p>
        </w:tc>
      </w:tr>
      <w:tr w:rsidR="00391D73" w:rsidRPr="00610670" w14:paraId="16C45735" w14:textId="394489CB" w:rsidTr="006633AC">
        <w:tc>
          <w:tcPr>
            <w:tcW w:w="1250" w:type="pct"/>
          </w:tcPr>
          <w:p w14:paraId="127B143E" w14:textId="77777777" w:rsidR="00391D73" w:rsidRPr="00610670" w:rsidRDefault="00391D73" w:rsidP="00610670">
            <w:pPr>
              <w:spacing w:before="100" w:beforeAutospacing="1" w:after="100" w:afterAutospacing="1" w:line="360" w:lineRule="auto"/>
              <w:jc w:val="both"/>
              <w:rPr>
                <w:rFonts w:ascii="Times New Roman" w:eastAsia="Times New Roman" w:hAnsi="Times New Roman" w:cs="Times New Roman"/>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lastRenderedPageBreak/>
              <w:t xml:space="preserve">QUINTO: </w:t>
            </w:r>
            <w:r w:rsidRPr="00610670">
              <w:rPr>
                <w:rFonts w:ascii="Times New Roman" w:eastAsia="Times New Roman" w:hAnsi="Times New Roman" w:cs="Times New Roman"/>
                <w:kern w:val="0"/>
                <w:sz w:val="22"/>
                <w:szCs w:val="22"/>
                <w:lang w:eastAsia="es-CR"/>
                <w14:ligatures w14:val="none"/>
              </w:rPr>
              <w:t>Las entidades deberán realizar campañas informativas, al menos con periodicidad anual, sobre la importancia de declarar la información relativa al nombramiento de beneficiarios y mantenerla actualizada.</w:t>
            </w:r>
          </w:p>
        </w:tc>
        <w:tc>
          <w:tcPr>
            <w:tcW w:w="1250" w:type="pct"/>
          </w:tcPr>
          <w:p w14:paraId="26921538" w14:textId="77777777" w:rsidR="00391D73" w:rsidRPr="00610670" w:rsidRDefault="00391D73"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636FC588" w14:textId="77777777" w:rsidR="00391D73" w:rsidRPr="00610670" w:rsidRDefault="00391D73"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p>
        </w:tc>
        <w:tc>
          <w:tcPr>
            <w:tcW w:w="1250" w:type="pct"/>
          </w:tcPr>
          <w:p w14:paraId="1566F861" w14:textId="174A4221" w:rsidR="00391D73" w:rsidRPr="00610670" w:rsidRDefault="00B41226" w:rsidP="00610670">
            <w:pPr>
              <w:spacing w:before="100" w:beforeAutospacing="1" w:after="100" w:afterAutospacing="1" w:line="360" w:lineRule="auto"/>
              <w:jc w:val="both"/>
              <w:rPr>
                <w:rFonts w:ascii="Times New Roman" w:eastAsia="Times New Roman" w:hAnsi="Times New Roman" w:cs="Times New Roman"/>
                <w:b/>
                <w:bCs/>
                <w:kern w:val="0"/>
                <w:sz w:val="22"/>
                <w:szCs w:val="22"/>
                <w:lang w:eastAsia="es-CR"/>
                <w14:ligatures w14:val="none"/>
              </w:rPr>
            </w:pPr>
            <w:r w:rsidRPr="00610670">
              <w:rPr>
                <w:rFonts w:ascii="Times New Roman" w:eastAsia="Times New Roman" w:hAnsi="Times New Roman" w:cs="Times New Roman"/>
                <w:b/>
                <w:bCs/>
                <w:kern w:val="0"/>
                <w:sz w:val="22"/>
                <w:szCs w:val="22"/>
                <w:lang w:eastAsia="es-CR"/>
                <w14:ligatures w14:val="none"/>
              </w:rPr>
              <w:t xml:space="preserve">QUINTO: </w:t>
            </w:r>
            <w:r w:rsidRPr="00610670">
              <w:rPr>
                <w:rFonts w:ascii="Times New Roman" w:eastAsia="Times New Roman" w:hAnsi="Times New Roman" w:cs="Times New Roman"/>
                <w:kern w:val="0"/>
                <w:sz w:val="22"/>
                <w:szCs w:val="22"/>
                <w:lang w:eastAsia="es-CR"/>
                <w14:ligatures w14:val="none"/>
              </w:rPr>
              <w:t>Las entidades deberán realizar campañas informativas, al menos con periodicidad anual, sobre la importancia de declarar la información relativa al nombramiento de beneficiarios y mantenerla actualizada.</w:t>
            </w:r>
          </w:p>
        </w:tc>
      </w:tr>
      <w:tr w:rsidR="00B41226" w:rsidRPr="00610670" w14:paraId="348DE5F5" w14:textId="7D29B999" w:rsidTr="006633AC">
        <w:tc>
          <w:tcPr>
            <w:tcW w:w="1250" w:type="pct"/>
          </w:tcPr>
          <w:p w14:paraId="76910586" w14:textId="77777777"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r w:rsidRPr="00610670">
              <w:rPr>
                <w:rFonts w:ascii="Times New Roman" w:eastAsia="Calibri" w:hAnsi="Times New Roman" w:cs="Times New Roman"/>
                <w:kern w:val="0"/>
                <w:sz w:val="22"/>
                <w:szCs w:val="22"/>
                <w:lang w:val="es-ES"/>
                <w14:ligatures w14:val="none"/>
              </w:rPr>
              <w:t>Rige a partir de su comunicación.</w:t>
            </w:r>
          </w:p>
        </w:tc>
        <w:tc>
          <w:tcPr>
            <w:tcW w:w="1250" w:type="pct"/>
          </w:tcPr>
          <w:p w14:paraId="73519AE3" w14:textId="77777777" w:rsidR="00B41226" w:rsidRDefault="006164E8" w:rsidP="00053ED4">
            <w:pPr>
              <w:spacing w:line="276" w:lineRule="auto"/>
              <w:jc w:val="both"/>
              <w:rPr>
                <w:rFonts w:ascii="Times New Roman" w:eastAsia="Calibri" w:hAnsi="Times New Roman" w:cs="Times New Roman"/>
                <w:b/>
                <w:bCs/>
                <w:kern w:val="0"/>
                <w:sz w:val="22"/>
                <w:szCs w:val="22"/>
                <w:lang w:val="es-ES"/>
                <w14:ligatures w14:val="none"/>
              </w:rPr>
            </w:pPr>
            <w:r w:rsidRPr="00053ED4">
              <w:rPr>
                <w:rFonts w:ascii="Times New Roman" w:eastAsia="Calibri" w:hAnsi="Times New Roman" w:cs="Times New Roman"/>
                <w:b/>
                <w:bCs/>
                <w:kern w:val="0"/>
                <w:sz w:val="22"/>
                <w:szCs w:val="22"/>
                <w:lang w:val="es-ES"/>
                <w14:ligatures w14:val="none"/>
              </w:rPr>
              <w:t>[BN V</w:t>
            </w:r>
            <w:r w:rsidR="00053ED4" w:rsidRPr="00053ED4">
              <w:rPr>
                <w:rFonts w:ascii="Times New Roman" w:eastAsia="Calibri" w:hAnsi="Times New Roman" w:cs="Times New Roman"/>
                <w:b/>
                <w:bCs/>
                <w:kern w:val="0"/>
                <w:sz w:val="22"/>
                <w:szCs w:val="22"/>
                <w:lang w:val="es-ES"/>
                <w14:ligatures w14:val="none"/>
              </w:rPr>
              <w:t>ITAL</w:t>
            </w:r>
            <w:r w:rsidRPr="00053ED4">
              <w:rPr>
                <w:rFonts w:ascii="Times New Roman" w:eastAsia="Calibri" w:hAnsi="Times New Roman" w:cs="Times New Roman"/>
                <w:b/>
                <w:bCs/>
                <w:kern w:val="0"/>
                <w:sz w:val="22"/>
                <w:szCs w:val="22"/>
                <w:lang w:val="es-ES"/>
                <w14:ligatures w14:val="none"/>
              </w:rPr>
              <w:t>]</w:t>
            </w:r>
          </w:p>
          <w:p w14:paraId="407C327B" w14:textId="77777777" w:rsidR="00053ED4" w:rsidRPr="00053ED4" w:rsidRDefault="00053ED4" w:rsidP="00053ED4">
            <w:pPr>
              <w:spacing w:line="276" w:lineRule="auto"/>
              <w:jc w:val="both"/>
              <w:rPr>
                <w:rFonts w:ascii="Times New Roman" w:eastAsia="Calibri" w:hAnsi="Times New Roman" w:cs="Times New Roman"/>
                <w:b/>
                <w:bCs/>
                <w:kern w:val="0"/>
                <w:sz w:val="22"/>
                <w:szCs w:val="22"/>
                <w14:ligatures w14:val="none"/>
              </w:rPr>
            </w:pPr>
          </w:p>
          <w:p w14:paraId="5ECF1201" w14:textId="77A95DEA" w:rsidR="00053ED4" w:rsidRPr="00053ED4" w:rsidRDefault="00053ED4" w:rsidP="00053ED4">
            <w:pPr>
              <w:spacing w:line="276" w:lineRule="auto"/>
              <w:jc w:val="both"/>
              <w:rPr>
                <w:rFonts w:ascii="Times New Roman" w:eastAsia="Calibri" w:hAnsi="Times New Roman" w:cs="Times New Roman"/>
                <w:kern w:val="0"/>
                <w:sz w:val="22"/>
                <w:szCs w:val="22"/>
                <w:lang w:val="es-ES"/>
                <w14:ligatures w14:val="none"/>
              </w:rPr>
            </w:pPr>
            <w:r w:rsidRPr="00053ED4">
              <w:rPr>
                <w:rFonts w:ascii="Times New Roman" w:eastAsia="Calibri" w:hAnsi="Times New Roman" w:cs="Times New Roman"/>
                <w:b/>
                <w:bCs/>
                <w:kern w:val="0"/>
                <w:sz w:val="22"/>
                <w:szCs w:val="22"/>
                <w14:ligatures w14:val="none"/>
              </w:rPr>
              <w:t xml:space="preserve"> </w:t>
            </w:r>
            <w:r w:rsidRPr="00053ED4">
              <w:rPr>
                <w:rFonts w:ascii="Times New Roman" w:eastAsia="Calibri" w:hAnsi="Times New Roman" w:cs="Times New Roman"/>
                <w:kern w:val="0"/>
                <w:sz w:val="22"/>
                <w:szCs w:val="22"/>
                <w14:ligatures w14:val="none"/>
              </w:rPr>
              <w:t>En el documento se indica que rige a partir de su comunicación, no obstante, desde nuestra perspectiva debería entrar en vigor al menos 6 meses después de su comunicación. Lo anterior con el propósito de que los administradores de fondos de pensiones complementarias dispongamos de ese espacio de tiempo para realizar los ajustes y las mejoras en las plataformas informáticas que permitan la implementación de mecanismos de fácil acceso para que los afiliados o pensionados que decidan realizar el nombramiento o cambio de beneficiarios lo puedan hacer de una manera ágil y sencilla y que, al mismo tiempo, tomando en consideración el número de afiliados y pensionados que tiene BN Vital, dicho proceso se pueda ejecutar de forma eficiente y efectiva.</w:t>
            </w:r>
          </w:p>
          <w:p w14:paraId="2C9DAF56" w14:textId="3A8EF46A" w:rsidR="00053ED4" w:rsidRPr="00053ED4" w:rsidRDefault="00053ED4" w:rsidP="00053ED4">
            <w:pPr>
              <w:spacing w:line="276" w:lineRule="auto"/>
              <w:jc w:val="both"/>
              <w:rPr>
                <w:rFonts w:ascii="Times New Roman" w:eastAsia="Calibri" w:hAnsi="Times New Roman" w:cs="Times New Roman"/>
                <w:b/>
                <w:bCs/>
                <w:kern w:val="0"/>
                <w:sz w:val="22"/>
                <w:szCs w:val="22"/>
                <w:lang w:val="es-ES"/>
                <w14:ligatures w14:val="none"/>
              </w:rPr>
            </w:pPr>
          </w:p>
        </w:tc>
        <w:tc>
          <w:tcPr>
            <w:tcW w:w="1250" w:type="pct"/>
          </w:tcPr>
          <w:p w14:paraId="7EB152F0" w14:textId="77777777" w:rsidR="00B41226" w:rsidRDefault="00E872D7" w:rsidP="00B41226">
            <w:pPr>
              <w:spacing w:line="276" w:lineRule="auto"/>
              <w:rPr>
                <w:rFonts w:ascii="Times New Roman" w:eastAsia="Calibri" w:hAnsi="Times New Roman" w:cs="Times New Roman"/>
                <w:b/>
                <w:bCs/>
                <w:kern w:val="0"/>
                <w:sz w:val="22"/>
                <w:szCs w:val="22"/>
                <w:lang w:val="es-ES"/>
                <w14:ligatures w14:val="none"/>
              </w:rPr>
            </w:pPr>
            <w:r w:rsidRPr="00E872D7">
              <w:rPr>
                <w:rFonts w:ascii="Times New Roman" w:eastAsia="Calibri" w:hAnsi="Times New Roman" w:cs="Times New Roman"/>
                <w:b/>
                <w:bCs/>
                <w:kern w:val="0"/>
                <w:sz w:val="22"/>
                <w:szCs w:val="22"/>
                <w:lang w:val="es-ES"/>
                <w14:ligatures w14:val="none"/>
              </w:rPr>
              <w:t>SE ACEPTA</w:t>
            </w:r>
          </w:p>
          <w:p w14:paraId="1E7B5456" w14:textId="77777777" w:rsidR="00E872D7" w:rsidRDefault="00E872D7" w:rsidP="00B41226">
            <w:pPr>
              <w:spacing w:line="276" w:lineRule="auto"/>
              <w:rPr>
                <w:rFonts w:ascii="Times New Roman" w:eastAsia="Calibri" w:hAnsi="Times New Roman" w:cs="Times New Roman"/>
                <w:b/>
                <w:bCs/>
                <w:kern w:val="0"/>
                <w:sz w:val="22"/>
                <w:szCs w:val="22"/>
                <w:lang w:val="es-ES"/>
                <w14:ligatures w14:val="none"/>
              </w:rPr>
            </w:pPr>
          </w:p>
          <w:p w14:paraId="0981C600" w14:textId="500EB6BC" w:rsidR="00E872D7" w:rsidRPr="007F74A9" w:rsidRDefault="007F74A9" w:rsidP="003B2453">
            <w:pPr>
              <w:spacing w:line="276" w:lineRule="auto"/>
              <w:jc w:val="both"/>
              <w:rPr>
                <w:rFonts w:ascii="Times New Roman" w:eastAsia="Calibri" w:hAnsi="Times New Roman" w:cs="Times New Roman"/>
                <w:kern w:val="0"/>
                <w:sz w:val="22"/>
                <w:szCs w:val="22"/>
                <w:lang w:val="es-ES"/>
                <w14:ligatures w14:val="none"/>
              </w:rPr>
            </w:pPr>
            <w:r w:rsidRPr="007F74A9">
              <w:rPr>
                <w:rFonts w:ascii="Times New Roman" w:eastAsia="Calibri" w:hAnsi="Times New Roman" w:cs="Times New Roman"/>
                <w:kern w:val="0"/>
                <w:sz w:val="22"/>
                <w:szCs w:val="22"/>
                <w:lang w:val="es-ES"/>
                <w14:ligatures w14:val="none"/>
              </w:rPr>
              <w:t>Se establecerá un plazo diferido de vigencia de 3 meses</w:t>
            </w:r>
            <w:r w:rsidR="006C2308">
              <w:rPr>
                <w:rFonts w:ascii="Times New Roman" w:eastAsia="Calibri" w:hAnsi="Times New Roman" w:cs="Times New Roman"/>
                <w:kern w:val="0"/>
                <w:sz w:val="22"/>
                <w:szCs w:val="22"/>
                <w:lang w:val="es-ES"/>
                <w14:ligatures w14:val="none"/>
              </w:rPr>
              <w:t xml:space="preserve"> a fin de que las entidades supervisadas implementen los ajustes </w:t>
            </w:r>
            <w:r w:rsidR="003B608F">
              <w:rPr>
                <w:rFonts w:ascii="Times New Roman" w:eastAsia="Calibri" w:hAnsi="Times New Roman" w:cs="Times New Roman"/>
                <w:kern w:val="0"/>
                <w:sz w:val="22"/>
                <w:szCs w:val="22"/>
                <w:lang w:val="es-ES"/>
                <w14:ligatures w14:val="none"/>
              </w:rPr>
              <w:t>necesarios en sus plataformas informáticas que perm</w:t>
            </w:r>
            <w:r w:rsidR="008A016B">
              <w:rPr>
                <w:rFonts w:ascii="Times New Roman" w:eastAsia="Calibri" w:hAnsi="Times New Roman" w:cs="Times New Roman"/>
                <w:kern w:val="0"/>
                <w:sz w:val="22"/>
                <w:szCs w:val="22"/>
                <w:lang w:val="es-ES"/>
                <w14:ligatures w14:val="none"/>
              </w:rPr>
              <w:t xml:space="preserve">itan establecer </w:t>
            </w:r>
            <w:r w:rsidR="008A016B" w:rsidRPr="008A016B">
              <w:rPr>
                <w:rFonts w:ascii="Times New Roman" w:eastAsia="Calibri" w:hAnsi="Times New Roman" w:cs="Times New Roman"/>
                <w:kern w:val="0"/>
                <w:sz w:val="22"/>
                <w:szCs w:val="22"/>
                <w:lang w:val="es-ES"/>
                <w14:ligatures w14:val="none"/>
              </w:rPr>
              <w:t>mecanismos de fácil acceso para que los afiliados o pensionados que decidan realizar el nombramiento o cambio de beneficiarios lo puedan hacer de una manera ágil y sencilla</w:t>
            </w:r>
            <w:r w:rsidR="008A016B">
              <w:rPr>
                <w:rFonts w:ascii="Times New Roman" w:eastAsia="Calibri" w:hAnsi="Times New Roman" w:cs="Times New Roman"/>
                <w:kern w:val="0"/>
                <w:sz w:val="22"/>
                <w:szCs w:val="22"/>
                <w:lang w:val="es-ES"/>
                <w14:ligatures w14:val="none"/>
              </w:rPr>
              <w:t>.</w:t>
            </w:r>
          </w:p>
        </w:tc>
        <w:tc>
          <w:tcPr>
            <w:tcW w:w="1250" w:type="pct"/>
          </w:tcPr>
          <w:p w14:paraId="44C22662" w14:textId="26DA7998"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r w:rsidRPr="00C6194A">
              <w:rPr>
                <w:rFonts w:ascii="Times New Roman" w:eastAsia="Calibri" w:hAnsi="Times New Roman" w:cs="Times New Roman"/>
                <w:color w:val="000000" w:themeColor="text1"/>
                <w:kern w:val="0"/>
                <w:sz w:val="22"/>
                <w:szCs w:val="22"/>
                <w:lang w:val="es-ES"/>
                <w14:ligatures w14:val="none"/>
              </w:rPr>
              <w:t xml:space="preserve">Rige </w:t>
            </w:r>
            <w:r w:rsidR="006D2478">
              <w:rPr>
                <w:rFonts w:ascii="Times New Roman" w:eastAsia="Calibri" w:hAnsi="Times New Roman" w:cs="Times New Roman"/>
                <w:color w:val="000000" w:themeColor="text1"/>
                <w:kern w:val="0"/>
                <w:sz w:val="22"/>
                <w:szCs w:val="22"/>
                <w:lang w:val="es-ES"/>
                <w14:ligatures w14:val="none"/>
              </w:rPr>
              <w:t xml:space="preserve">tres meses </w:t>
            </w:r>
            <w:r w:rsidR="001628D8">
              <w:rPr>
                <w:rFonts w:ascii="Times New Roman" w:eastAsia="Calibri" w:hAnsi="Times New Roman" w:cs="Times New Roman"/>
                <w:color w:val="000000" w:themeColor="text1"/>
                <w:kern w:val="0"/>
                <w:sz w:val="22"/>
                <w:szCs w:val="22"/>
                <w:lang w:val="es-ES"/>
                <w14:ligatures w14:val="none"/>
              </w:rPr>
              <w:t xml:space="preserve">después de su </w:t>
            </w:r>
            <w:r w:rsidR="001628D8" w:rsidRPr="008417FA">
              <w:rPr>
                <w:rFonts w:ascii="Times New Roman" w:eastAsia="Calibri" w:hAnsi="Times New Roman" w:cs="Times New Roman"/>
                <w:color w:val="000000" w:themeColor="text1"/>
                <w:kern w:val="0"/>
                <w:sz w:val="22"/>
                <w:szCs w:val="22"/>
                <w:lang w:val="es-ES"/>
                <w14:ligatures w14:val="none"/>
              </w:rPr>
              <w:t>comunicación.</w:t>
            </w:r>
          </w:p>
        </w:tc>
      </w:tr>
      <w:tr w:rsidR="00B41226" w:rsidRPr="00610670" w14:paraId="038BC194" w14:textId="0A1E3B5C" w:rsidTr="006633AC">
        <w:tc>
          <w:tcPr>
            <w:tcW w:w="1250" w:type="pct"/>
          </w:tcPr>
          <w:p w14:paraId="4D1D9937" w14:textId="77777777"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r w:rsidRPr="00610670">
              <w:rPr>
                <w:rFonts w:ascii="Times New Roman" w:eastAsia="Calibri" w:hAnsi="Times New Roman" w:cs="Times New Roman"/>
                <w:kern w:val="0"/>
                <w:sz w:val="22"/>
                <w:szCs w:val="22"/>
                <w:lang w:val="es-ES"/>
                <w14:ligatures w14:val="none"/>
              </w:rPr>
              <w:t>Comuníquese.</w:t>
            </w:r>
          </w:p>
        </w:tc>
        <w:tc>
          <w:tcPr>
            <w:tcW w:w="1250" w:type="pct"/>
          </w:tcPr>
          <w:p w14:paraId="633BEBF9" w14:textId="77777777"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p>
        </w:tc>
        <w:tc>
          <w:tcPr>
            <w:tcW w:w="1250" w:type="pct"/>
          </w:tcPr>
          <w:p w14:paraId="66160C44" w14:textId="77777777"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p>
        </w:tc>
        <w:tc>
          <w:tcPr>
            <w:tcW w:w="1250" w:type="pct"/>
          </w:tcPr>
          <w:p w14:paraId="44D8000E" w14:textId="3C0E6DF4" w:rsidR="00B41226" w:rsidRPr="00610670" w:rsidRDefault="00B41226" w:rsidP="00B41226">
            <w:pPr>
              <w:spacing w:line="276" w:lineRule="auto"/>
              <w:rPr>
                <w:rFonts w:ascii="Times New Roman" w:eastAsia="Calibri" w:hAnsi="Times New Roman" w:cs="Times New Roman"/>
                <w:kern w:val="0"/>
                <w:sz w:val="22"/>
                <w:szCs w:val="22"/>
                <w:lang w:val="es-ES"/>
                <w14:ligatures w14:val="none"/>
              </w:rPr>
            </w:pPr>
            <w:r w:rsidRPr="00610670">
              <w:rPr>
                <w:rFonts w:ascii="Times New Roman" w:eastAsia="Calibri" w:hAnsi="Times New Roman" w:cs="Times New Roman"/>
                <w:kern w:val="0"/>
                <w:sz w:val="22"/>
                <w:szCs w:val="22"/>
                <w:lang w:val="es-ES"/>
                <w14:ligatures w14:val="none"/>
              </w:rPr>
              <w:t>Comuníquese.</w:t>
            </w:r>
          </w:p>
        </w:tc>
      </w:tr>
    </w:tbl>
    <w:p w14:paraId="16D1F4A3" w14:textId="77777777" w:rsidR="00672CA9" w:rsidRDefault="00672CA9"/>
    <w:sectPr w:rsidR="00672CA9" w:rsidSect="006633AC">
      <w:headerReference w:type="even" r:id="rId25"/>
      <w:headerReference w:type="default" r:id="rId26"/>
      <w:footerReference w:type="even" r:id="rId27"/>
      <w:footerReference w:type="default" r:id="rId28"/>
      <w:headerReference w:type="first" r:id="rId29"/>
      <w:footerReference w:type="first" r:id="rId30"/>
      <w:pgSz w:w="16838" w:h="23811" w:code="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6FCB" w14:textId="77777777" w:rsidR="00FA10B1" w:rsidRDefault="00FA10B1" w:rsidP="004E411C">
      <w:pPr>
        <w:spacing w:after="0" w:line="240" w:lineRule="auto"/>
      </w:pPr>
      <w:r>
        <w:separator/>
      </w:r>
    </w:p>
  </w:endnote>
  <w:endnote w:type="continuationSeparator" w:id="0">
    <w:p w14:paraId="7C2A681D" w14:textId="77777777" w:rsidR="00FA10B1" w:rsidRDefault="00FA10B1" w:rsidP="004E411C">
      <w:pPr>
        <w:spacing w:after="0" w:line="240" w:lineRule="auto"/>
      </w:pPr>
      <w:r>
        <w:continuationSeparator/>
      </w:r>
    </w:p>
  </w:endnote>
  <w:endnote w:type="continuationNotice" w:id="1">
    <w:p w14:paraId="1DCE18C1" w14:textId="77777777" w:rsidR="00315C53" w:rsidRDefault="00315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BD88" w14:textId="225BC3AD" w:rsidR="004E411C" w:rsidRDefault="004E411C">
    <w:pPr>
      <w:pStyle w:val="Piedepgina"/>
    </w:pPr>
    <w:r>
      <w:rPr>
        <w:noProof/>
        <w14:ligatures w14:val="standardContextual"/>
      </w:rPr>
      <mc:AlternateContent>
        <mc:Choice Requires="wps">
          <w:drawing>
            <wp:anchor distT="0" distB="0" distL="0" distR="0" simplePos="0" relativeHeight="251658245" behindDoc="0" locked="0" layoutInCell="1" allowOverlap="1" wp14:anchorId="356E937F" wp14:editId="19DC81E5">
              <wp:simplePos x="635" y="635"/>
              <wp:positionH relativeFrom="page">
                <wp:align>center</wp:align>
              </wp:positionH>
              <wp:positionV relativeFrom="page">
                <wp:align>bottom</wp:align>
              </wp:positionV>
              <wp:extent cx="607060" cy="370205"/>
              <wp:effectExtent l="0" t="0" r="2540" b="0"/>
              <wp:wrapNone/>
              <wp:docPr id="193041078"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440D3489" w14:textId="49A55126"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6E937F" id="_x0000_t202" coordsize="21600,21600" o:spt="202" path="m,l,21600r21600,l21600,xe">
              <v:stroke joinstyle="miter"/>
              <v:path gradientshapeok="t" o:connecttype="rect"/>
            </v:shapetype>
            <v:shape id="Cuadro de texto 2" o:spid="_x0000_s1026" type="#_x0000_t202" alt="Uso Interno" style="position:absolute;margin-left:0;margin-top:0;width:47.8pt;height:29.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" filled="f" stroked="f">
              <v:textbox style="mso-fit-shape-to-text:t" inset="0,0,0,15pt">
                <w:txbxContent>
                  <w:p w14:paraId="440D3489" w14:textId="49A55126"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20E8" w14:textId="50535638" w:rsidR="004E411C" w:rsidRDefault="004E411C" w:rsidP="00E03712">
    <w:pPr>
      <w:pStyle w:val="Piedepgina"/>
      <w:pBdr>
        <w:top w:val="single" w:sz="4" w:space="1" w:color="auto"/>
      </w:pBdr>
      <w:rPr>
        <w:i/>
        <w:szCs w:val="24"/>
      </w:rPr>
    </w:pPr>
    <w:r>
      <w:rPr>
        <w:i/>
        <w:noProof/>
        <w:szCs w:val="24"/>
        <w14:ligatures w14:val="standardContextual"/>
      </w:rPr>
      <mc:AlternateContent>
        <mc:Choice Requires="wps">
          <w:drawing>
            <wp:anchor distT="0" distB="0" distL="0" distR="0" simplePos="0" relativeHeight="251658246" behindDoc="0" locked="0" layoutInCell="1" allowOverlap="1" wp14:anchorId="281F925D" wp14:editId="6A00C0BD">
              <wp:simplePos x="1080770" y="14310995"/>
              <wp:positionH relativeFrom="page">
                <wp:align>center</wp:align>
              </wp:positionH>
              <wp:positionV relativeFrom="page">
                <wp:align>bottom</wp:align>
              </wp:positionV>
              <wp:extent cx="607060" cy="370205"/>
              <wp:effectExtent l="0" t="0" r="2540" b="0"/>
              <wp:wrapNone/>
              <wp:docPr id="271203365"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16C91C8A" w14:textId="3C589F4B"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F925D" id="_x0000_t202" coordsize="21600,21600" o:spt="202" path="m,l,21600r21600,l21600,xe">
              <v:stroke joinstyle="miter"/>
              <v:path gradientshapeok="t" o:connecttype="rect"/>
            </v:shapetype>
            <v:shape id="Cuadro de texto 3" o:spid="_x0000_s1027" type="#_x0000_t202" alt="Uso Interno" style="position:absolute;margin-left:0;margin-top:0;width:47.8pt;height:29.1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" filled="f" stroked="f">
              <v:textbox style="mso-fit-shape-to-text:t" inset="0,0,0,15pt">
                <w:txbxContent>
                  <w:p w14:paraId="16C91C8A" w14:textId="3C589F4B"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v:textbox>
              <w10:wrap anchorx="page" anchory="page"/>
            </v:shape>
          </w:pict>
        </mc:Fallback>
      </mc:AlternateContent>
    </w:r>
  </w:p>
  <w:p w14:paraId="28E02E3D" w14:textId="77777777" w:rsidR="004E411C" w:rsidRPr="00BE078A" w:rsidRDefault="004E411C" w:rsidP="00E03712">
    <w:pPr>
      <w:pStyle w:val="Piedepgina"/>
      <w:pBdr>
        <w:top w:val="single" w:sz="4" w:space="1" w:color="auto"/>
      </w:pBdr>
      <w:jc w:val="center"/>
      <w:rPr>
        <w:szCs w:val="24"/>
      </w:rPr>
    </w:pPr>
    <w:r>
      <w:rPr>
        <w:i/>
        <w:szCs w:val="24"/>
      </w:rPr>
      <w:t>Teléfonos  2243-4446  /  2243-4445</w:t>
    </w:r>
    <w:r>
      <w:rPr>
        <w:i/>
        <w:szCs w:val="24"/>
      </w:rPr>
      <w:tab/>
      <w:t xml:space="preserve">             Fax 2243-4444            </w:t>
    </w:r>
    <w:hyperlink r:id="rId1" w:history="1">
      <w:r>
        <w:rPr>
          <w:rStyle w:val="Hipervnculo"/>
          <w:i/>
          <w:szCs w:val="24"/>
        </w:rPr>
        <w:t>supen@supen.fi.cr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D38B" w14:textId="3422F1E1" w:rsidR="004E411C" w:rsidRDefault="004E411C" w:rsidP="00E03712">
    <w:pPr>
      <w:pStyle w:val="Piedepgina"/>
      <w:pBdr>
        <w:top w:val="single" w:sz="4" w:space="1" w:color="auto"/>
      </w:pBdr>
      <w:rPr>
        <w:i/>
        <w:szCs w:val="24"/>
      </w:rPr>
    </w:pPr>
    <w:r>
      <w:rPr>
        <w:i/>
        <w:noProof/>
        <w:szCs w:val="24"/>
        <w14:ligatures w14:val="standardContextual"/>
      </w:rPr>
      <mc:AlternateContent>
        <mc:Choice Requires="wps">
          <w:drawing>
            <wp:anchor distT="0" distB="0" distL="0" distR="0" simplePos="0" relativeHeight="251658244" behindDoc="0" locked="0" layoutInCell="1" allowOverlap="1" wp14:anchorId="3BA6058D" wp14:editId="0DA362AC">
              <wp:simplePos x="1076325" y="14306550"/>
              <wp:positionH relativeFrom="page">
                <wp:align>center</wp:align>
              </wp:positionH>
              <wp:positionV relativeFrom="page">
                <wp:align>bottom</wp:align>
              </wp:positionV>
              <wp:extent cx="607060" cy="370205"/>
              <wp:effectExtent l="0" t="0" r="2540" b="0"/>
              <wp:wrapNone/>
              <wp:docPr id="587016874"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1EBAD0D8" w14:textId="7FEAB426"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6058D" id="_x0000_t202" coordsize="21600,21600" o:spt="202" path="m,l,21600r21600,l21600,xe">
              <v:stroke joinstyle="miter"/>
              <v:path gradientshapeok="t" o:connecttype="rect"/>
            </v:shapetype>
            <v:shape id="Cuadro de texto 1" o:spid="_x0000_s1028" type="#_x0000_t202" alt="Uso Interno" style="position:absolute;margin-left:0;margin-top:0;width:47.8pt;height:29.1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" filled="f" stroked="f">
              <v:textbox style="mso-fit-shape-to-text:t" inset="0,0,0,15pt">
                <w:txbxContent>
                  <w:p w14:paraId="1EBAD0D8" w14:textId="7FEAB426" w:rsidR="004E411C" w:rsidRPr="004E411C" w:rsidRDefault="004E411C" w:rsidP="004E411C">
                    <w:pPr>
                      <w:spacing w:after="0"/>
                      <w:rPr>
                        <w:rFonts w:ascii="Calibri" w:eastAsia="Calibri" w:hAnsi="Calibri" w:cs="Calibri"/>
                        <w:noProof/>
                        <w:color w:val="000000"/>
                        <w:sz w:val="20"/>
                        <w:szCs w:val="20"/>
                      </w:rPr>
                    </w:pPr>
                    <w:r w:rsidRPr="004E411C">
                      <w:rPr>
                        <w:rFonts w:ascii="Calibri" w:eastAsia="Calibri" w:hAnsi="Calibri" w:cs="Calibri"/>
                        <w:noProof/>
                        <w:color w:val="000000"/>
                        <w:sz w:val="20"/>
                        <w:szCs w:val="20"/>
                      </w:rPr>
                      <w:t>Uso Interno</w:t>
                    </w:r>
                  </w:p>
                </w:txbxContent>
              </v:textbox>
              <w10:wrap anchorx="page" anchory="page"/>
            </v:shape>
          </w:pict>
        </mc:Fallback>
      </mc:AlternateContent>
    </w:r>
  </w:p>
  <w:p w14:paraId="691E28AD" w14:textId="77777777" w:rsidR="004E411C" w:rsidRPr="00BE078A" w:rsidRDefault="004E411C" w:rsidP="00E03712">
    <w:pPr>
      <w:pStyle w:val="Piedepgina"/>
      <w:pBdr>
        <w:top w:val="single" w:sz="4" w:space="1" w:color="auto"/>
      </w:pBdr>
      <w:rPr>
        <w:szCs w:val="24"/>
      </w:rPr>
    </w:pPr>
    <w:r>
      <w:rPr>
        <w:i/>
        <w:szCs w:val="24"/>
      </w:rPr>
      <w:t>Teléfonos 2243-4400</w:t>
    </w:r>
    <w:r>
      <w:rPr>
        <w:i/>
        <w:szCs w:val="24"/>
      </w:rPr>
      <w:tab/>
      <w:t>Fax 2243-4444</w:t>
    </w:r>
    <w:r>
      <w:rPr>
        <w:i/>
        <w:szCs w:val="24"/>
      </w:rPr>
      <w:tab/>
    </w:r>
    <w:hyperlink r:id="rId1" w:history="1">
      <w:r>
        <w:rPr>
          <w:rStyle w:val="Hipervnculo"/>
          <w:i/>
          <w:szCs w:val="24"/>
        </w:rPr>
        <w:t>supen@supen.fi.cr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951B1" w14:textId="77777777" w:rsidR="00FA10B1" w:rsidRDefault="00FA10B1" w:rsidP="004E411C">
      <w:pPr>
        <w:spacing w:after="0" w:line="240" w:lineRule="auto"/>
      </w:pPr>
      <w:r>
        <w:separator/>
      </w:r>
    </w:p>
  </w:footnote>
  <w:footnote w:type="continuationSeparator" w:id="0">
    <w:p w14:paraId="239A5FCE" w14:textId="77777777" w:rsidR="00FA10B1" w:rsidRDefault="00FA10B1" w:rsidP="004E411C">
      <w:pPr>
        <w:spacing w:after="0" w:line="240" w:lineRule="auto"/>
      </w:pPr>
      <w:r>
        <w:continuationSeparator/>
      </w:r>
    </w:p>
  </w:footnote>
  <w:footnote w:type="continuationNotice" w:id="1">
    <w:p w14:paraId="2C6BB3C1" w14:textId="77777777" w:rsidR="00315C53" w:rsidRDefault="00315C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A9A9" w14:textId="77777777" w:rsidR="004E411C" w:rsidRDefault="004E41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69B55" w14:textId="77777777" w:rsidR="004E411C" w:rsidRDefault="004E411C" w:rsidP="00E03712">
    <w:pPr>
      <w:pStyle w:val="Encabezado"/>
    </w:pPr>
    <w:r>
      <w:rPr>
        <w:noProof/>
        <w:lang w:eastAsia="es-CR"/>
      </w:rPr>
      <w:drawing>
        <wp:anchor distT="0" distB="0" distL="114300" distR="114300" simplePos="0" relativeHeight="251658242" behindDoc="1" locked="0" layoutInCell="1" allowOverlap="1" wp14:anchorId="60E1848F" wp14:editId="46A75D6E">
          <wp:simplePos x="0" y="0"/>
          <wp:positionH relativeFrom="page">
            <wp:posOffset>812165</wp:posOffset>
          </wp:positionH>
          <wp:positionV relativeFrom="page">
            <wp:posOffset>184150</wp:posOffset>
          </wp:positionV>
          <wp:extent cx="1945005" cy="89979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0" behindDoc="0" locked="0" layoutInCell="1" allowOverlap="1" wp14:anchorId="1DB82BFD" wp14:editId="3D7C5962">
          <wp:simplePos x="0" y="0"/>
          <wp:positionH relativeFrom="margin">
            <wp:posOffset>4740910</wp:posOffset>
          </wp:positionH>
          <wp:positionV relativeFrom="paragraph">
            <wp:posOffset>-264160</wp:posOffset>
          </wp:positionV>
          <wp:extent cx="963930" cy="86423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930" cy="864235"/>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31C20A83" w14:textId="77777777" w:rsidR="004E411C" w:rsidRPr="00310D45" w:rsidRDefault="004E411C" w:rsidP="00E03712">
    <w:pPr>
      <w:pStyle w:val="Encabezado"/>
    </w:pPr>
  </w:p>
  <w:p w14:paraId="7C1A0D04" w14:textId="77777777" w:rsidR="004E411C" w:rsidRDefault="004E411C" w:rsidP="00E03712">
    <w:pPr>
      <w:pStyle w:val="Encabezado"/>
    </w:pPr>
  </w:p>
  <w:p w14:paraId="0E7252F5" w14:textId="77777777" w:rsidR="004E411C" w:rsidRDefault="004E411C" w:rsidP="00E03712">
    <w:pPr>
      <w:pStyle w:val="Encabezado"/>
      <w:rPr>
        <w:b/>
        <w:i/>
        <w:szCs w:val="24"/>
      </w:rPr>
    </w:pPr>
  </w:p>
  <w:p w14:paraId="52E54843" w14:textId="6444DD27" w:rsidR="004E411C" w:rsidRPr="00092B79" w:rsidRDefault="004E411C" w:rsidP="00E03712">
    <w:pPr>
      <w:pStyle w:val="Encabezado"/>
      <w:rPr>
        <w:b/>
        <w:i/>
        <w:noProof/>
        <w:szCs w:val="24"/>
      </w:rPr>
    </w:pPr>
    <w:r w:rsidRPr="00092B79">
      <w:rPr>
        <w:b/>
        <w:i/>
        <w:szCs w:val="24"/>
      </w:rPr>
      <w:fldChar w:fldCharType="begin"/>
    </w:r>
    <w:r w:rsidRPr="00092B79">
      <w:rPr>
        <w:b/>
        <w:i/>
        <w:szCs w:val="24"/>
      </w:rPr>
      <w:instrText xml:space="preserve"> STYLEREF  Supen_Encabezado  \* MERGEFORMAT </w:instrText>
    </w:r>
    <w:r w:rsidRPr="00092B79">
      <w:rPr>
        <w:b/>
        <w:i/>
        <w:szCs w:val="24"/>
      </w:rPr>
      <w:fldChar w:fldCharType="separate"/>
    </w:r>
    <w:r w:rsidR="006D2ECE">
      <w:rPr>
        <w:bCs/>
        <w:i/>
        <w:noProof/>
        <w:szCs w:val="24"/>
        <w:lang w:val="es-ES"/>
      </w:rPr>
      <w:t>¡Error! Utilice la pestaña Inicio para aplicar Supen_Encabezado al texto que desea que aparezca aquí.</w:t>
    </w:r>
    <w:r w:rsidRPr="00092B79">
      <w:rPr>
        <w:b/>
        <w:i/>
        <w:noProof/>
        <w:szCs w:val="24"/>
      </w:rPr>
      <w:fldChar w:fldCharType="end"/>
    </w:r>
  </w:p>
  <w:p w14:paraId="41120237" w14:textId="77777777" w:rsidR="004E411C" w:rsidRDefault="004E411C" w:rsidP="00E03712">
    <w:pPr>
      <w:pStyle w:val="Encabezado"/>
      <w:rPr>
        <w:i/>
        <w:szCs w:val="24"/>
      </w:rPr>
    </w:pPr>
    <w:r>
      <w:rPr>
        <w:i/>
        <w:szCs w:val="24"/>
        <w:lang w:val="es-MX"/>
      </w:rPr>
      <w:t xml:space="preserve">Página </w:t>
    </w:r>
    <w:r w:rsidRPr="00DC38D9">
      <w:rPr>
        <w:i/>
        <w:szCs w:val="24"/>
      </w:rPr>
      <w:fldChar w:fldCharType="begin"/>
    </w:r>
    <w:r w:rsidRPr="00DC38D9">
      <w:rPr>
        <w:i/>
        <w:szCs w:val="24"/>
      </w:rPr>
      <w:instrText>PAGE   \* MERGEFORMAT</w:instrText>
    </w:r>
    <w:r w:rsidRPr="00DC38D9">
      <w:rPr>
        <w:i/>
        <w:szCs w:val="24"/>
      </w:rPr>
      <w:fldChar w:fldCharType="separate"/>
    </w:r>
    <w:r>
      <w:rPr>
        <w:i/>
        <w:noProof/>
        <w:szCs w:val="24"/>
      </w:rPr>
      <w:t>2</w:t>
    </w:r>
    <w:r w:rsidRPr="00DC38D9">
      <w:rPr>
        <w:i/>
        <w:szCs w:val="24"/>
      </w:rPr>
      <w:fldChar w:fldCharType="end"/>
    </w:r>
  </w:p>
  <w:p w14:paraId="6AEBC395" w14:textId="77777777" w:rsidR="004E411C" w:rsidRPr="00DC38D9" w:rsidRDefault="004E411C" w:rsidP="00E03712">
    <w:pPr>
      <w:pStyle w:val="Encabezado"/>
      <w:rPr>
        <w:i/>
        <w:szCs w:val="24"/>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8565" w14:textId="77777777" w:rsidR="004E411C" w:rsidRDefault="004E411C" w:rsidP="00E03712">
    <w:pPr>
      <w:pStyle w:val="Encabezado"/>
    </w:pPr>
    <w:r>
      <w:rPr>
        <w:noProof/>
        <w:lang w:eastAsia="es-CR"/>
      </w:rPr>
      <w:drawing>
        <wp:anchor distT="0" distB="0" distL="114300" distR="114300" simplePos="0" relativeHeight="251658241" behindDoc="0" locked="0" layoutInCell="1" allowOverlap="1" wp14:anchorId="667DE196" wp14:editId="0644214B">
          <wp:simplePos x="0" y="0"/>
          <wp:positionH relativeFrom="margin">
            <wp:posOffset>12890997</wp:posOffset>
          </wp:positionH>
          <wp:positionV relativeFrom="paragraph">
            <wp:posOffset>-240306</wp:posOffset>
          </wp:positionV>
          <wp:extent cx="963930" cy="86423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8642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3" behindDoc="1" locked="0" layoutInCell="1" allowOverlap="1" wp14:anchorId="7EBE0000" wp14:editId="5A130452">
          <wp:simplePos x="0" y="0"/>
          <wp:positionH relativeFrom="page">
            <wp:posOffset>812165</wp:posOffset>
          </wp:positionH>
          <wp:positionV relativeFrom="page">
            <wp:posOffset>184150</wp:posOffset>
          </wp:positionV>
          <wp:extent cx="1945005" cy="89979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5005" cy="899795"/>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3F713F38" w14:textId="77777777" w:rsidR="004E411C" w:rsidRPr="00310D45" w:rsidRDefault="004E411C" w:rsidP="00E037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7123D"/>
    <w:multiLevelType w:val="hybridMultilevel"/>
    <w:tmpl w:val="E7A444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5540655"/>
    <w:multiLevelType w:val="hybridMultilevel"/>
    <w:tmpl w:val="053C4386"/>
    <w:lvl w:ilvl="0" w:tplc="140A0001">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C33440"/>
    <w:multiLevelType w:val="hybridMultilevel"/>
    <w:tmpl w:val="41BA01A8"/>
    <w:lvl w:ilvl="0" w:tplc="FD0C6336">
      <w:start w:val="1"/>
      <w:numFmt w:val="lowerLetter"/>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153166"/>
    <w:multiLevelType w:val="hybridMultilevel"/>
    <w:tmpl w:val="290650A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D3F0381"/>
    <w:multiLevelType w:val="hybridMultilevel"/>
    <w:tmpl w:val="688AE25A"/>
    <w:lvl w:ilvl="0" w:tplc="B3DCAD1A">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578013E"/>
    <w:multiLevelType w:val="hybridMultilevel"/>
    <w:tmpl w:val="5028994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481D82"/>
    <w:multiLevelType w:val="hybridMultilevel"/>
    <w:tmpl w:val="E5266558"/>
    <w:lvl w:ilvl="0" w:tplc="140A0019">
      <w:start w:val="2"/>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E241077"/>
    <w:multiLevelType w:val="hybridMultilevel"/>
    <w:tmpl w:val="CB68D11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3872362"/>
    <w:multiLevelType w:val="hybridMultilevel"/>
    <w:tmpl w:val="7B9CAD4A"/>
    <w:lvl w:ilvl="0" w:tplc="983EE700">
      <w:start w:val="1"/>
      <w:numFmt w:val="decimal"/>
      <w:lvlText w:val="%1)"/>
      <w:lvlJc w:val="left"/>
      <w:pPr>
        <w:tabs>
          <w:tab w:val="num" w:pos="170"/>
        </w:tabs>
        <w:ind w:left="170" w:firstLine="0"/>
      </w:pPr>
      <w:rPr>
        <w:rFonts w:hint="default"/>
        <w:i w:val="0"/>
        <w:iCs w:val="0"/>
      </w:rPr>
    </w:lvl>
    <w:lvl w:ilvl="1" w:tplc="0C0A0019">
      <w:start w:val="1"/>
      <w:numFmt w:val="lowerLetter"/>
      <w:lvlText w:val="%2."/>
      <w:lvlJc w:val="left"/>
      <w:pPr>
        <w:ind w:left="1440" w:hanging="360"/>
      </w:pPr>
    </w:lvl>
    <w:lvl w:ilvl="2" w:tplc="DC3C70EA">
      <w:start w:val="1"/>
      <w:numFmt w:val="lowerRoman"/>
      <w:lvlText w:val="%3."/>
      <w:lvlJc w:val="right"/>
      <w:pPr>
        <w:ind w:left="2160" w:hanging="180"/>
      </w:pPr>
      <w:rPr>
        <w:i w:val="0"/>
        <w:iCs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320E03"/>
    <w:multiLevelType w:val="hybridMultilevel"/>
    <w:tmpl w:val="11E61EC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78B07A0"/>
    <w:multiLevelType w:val="hybridMultilevel"/>
    <w:tmpl w:val="B8B0C5B0"/>
    <w:lvl w:ilvl="0" w:tplc="73529C74">
      <w:start w:val="1"/>
      <w:numFmt w:val="decimal"/>
      <w:lvlText w:val="%1."/>
      <w:lvlJc w:val="left"/>
      <w:pPr>
        <w:ind w:left="720" w:hanging="360"/>
      </w:pPr>
      <w:rPr>
        <w:rFonts w:ascii="Times New Roman" w:eastAsia="Calibri" w:hAnsi="Times New Roman" w:cs="Times New Roman" w:hint="default"/>
        <w:b/>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2484333">
    <w:abstractNumId w:val="0"/>
  </w:num>
  <w:num w:numId="2" w16cid:durableId="1061438832">
    <w:abstractNumId w:val="4"/>
  </w:num>
  <w:num w:numId="3" w16cid:durableId="887186728">
    <w:abstractNumId w:val="2"/>
  </w:num>
  <w:num w:numId="4" w16cid:durableId="856652716">
    <w:abstractNumId w:val="7"/>
  </w:num>
  <w:num w:numId="5" w16cid:durableId="1258169668">
    <w:abstractNumId w:val="1"/>
  </w:num>
  <w:num w:numId="6" w16cid:durableId="128128439">
    <w:abstractNumId w:val="10"/>
  </w:num>
  <w:num w:numId="7" w16cid:durableId="2126147360">
    <w:abstractNumId w:val="9"/>
  </w:num>
  <w:num w:numId="8" w16cid:durableId="563874563">
    <w:abstractNumId w:val="6"/>
  </w:num>
  <w:num w:numId="9" w16cid:durableId="611478203">
    <w:abstractNumId w:val="5"/>
  </w:num>
  <w:num w:numId="10" w16cid:durableId="1205404123">
    <w:abstractNumId w:val="3"/>
  </w:num>
  <w:num w:numId="11" w16cid:durableId="311981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A9"/>
    <w:rsid w:val="00002085"/>
    <w:rsid w:val="00002244"/>
    <w:rsid w:val="00041385"/>
    <w:rsid w:val="00051090"/>
    <w:rsid w:val="00053ED4"/>
    <w:rsid w:val="00056E46"/>
    <w:rsid w:val="00073833"/>
    <w:rsid w:val="000749DC"/>
    <w:rsid w:val="000866ED"/>
    <w:rsid w:val="0008686A"/>
    <w:rsid w:val="0009078E"/>
    <w:rsid w:val="0009630C"/>
    <w:rsid w:val="000C4E35"/>
    <w:rsid w:val="000D17E7"/>
    <w:rsid w:val="000D185E"/>
    <w:rsid w:val="000D2B5C"/>
    <w:rsid w:val="000D71BC"/>
    <w:rsid w:val="000D77FE"/>
    <w:rsid w:val="000E2488"/>
    <w:rsid w:val="000E5AEB"/>
    <w:rsid w:val="00111EA7"/>
    <w:rsid w:val="00131E2B"/>
    <w:rsid w:val="0015251A"/>
    <w:rsid w:val="00155825"/>
    <w:rsid w:val="001628D8"/>
    <w:rsid w:val="001637EF"/>
    <w:rsid w:val="001837EF"/>
    <w:rsid w:val="001961C6"/>
    <w:rsid w:val="001972D0"/>
    <w:rsid w:val="001A47C3"/>
    <w:rsid w:val="001A49F6"/>
    <w:rsid w:val="001A692C"/>
    <w:rsid w:val="001A798F"/>
    <w:rsid w:val="001A7DEC"/>
    <w:rsid w:val="001B09B0"/>
    <w:rsid w:val="001B4B5E"/>
    <w:rsid w:val="001C20BC"/>
    <w:rsid w:val="001C4B68"/>
    <w:rsid w:val="001E5EED"/>
    <w:rsid w:val="00201E7B"/>
    <w:rsid w:val="002021E2"/>
    <w:rsid w:val="00207F65"/>
    <w:rsid w:val="00210379"/>
    <w:rsid w:val="00211774"/>
    <w:rsid w:val="00212A65"/>
    <w:rsid w:val="00214776"/>
    <w:rsid w:val="00215803"/>
    <w:rsid w:val="00221146"/>
    <w:rsid w:val="00223425"/>
    <w:rsid w:val="00226656"/>
    <w:rsid w:val="00230AB3"/>
    <w:rsid w:val="00245F4B"/>
    <w:rsid w:val="00286573"/>
    <w:rsid w:val="0028692C"/>
    <w:rsid w:val="00296115"/>
    <w:rsid w:val="002A7078"/>
    <w:rsid w:val="002A7F3E"/>
    <w:rsid w:val="002B08B2"/>
    <w:rsid w:val="002C143E"/>
    <w:rsid w:val="002D1343"/>
    <w:rsid w:val="002F61D6"/>
    <w:rsid w:val="00300C14"/>
    <w:rsid w:val="00303272"/>
    <w:rsid w:val="00313805"/>
    <w:rsid w:val="00315C53"/>
    <w:rsid w:val="00317824"/>
    <w:rsid w:val="00325E3D"/>
    <w:rsid w:val="0033470B"/>
    <w:rsid w:val="00337598"/>
    <w:rsid w:val="003426C7"/>
    <w:rsid w:val="00353BD3"/>
    <w:rsid w:val="00363953"/>
    <w:rsid w:val="00370FE7"/>
    <w:rsid w:val="00380047"/>
    <w:rsid w:val="003831C9"/>
    <w:rsid w:val="00384F5B"/>
    <w:rsid w:val="00391D73"/>
    <w:rsid w:val="003B0388"/>
    <w:rsid w:val="003B2453"/>
    <w:rsid w:val="003B5F50"/>
    <w:rsid w:val="003B608F"/>
    <w:rsid w:val="003C24C8"/>
    <w:rsid w:val="003D6DF8"/>
    <w:rsid w:val="003E180C"/>
    <w:rsid w:val="003E6641"/>
    <w:rsid w:val="003F17A4"/>
    <w:rsid w:val="00422FB3"/>
    <w:rsid w:val="00425E17"/>
    <w:rsid w:val="00446A28"/>
    <w:rsid w:val="00447AED"/>
    <w:rsid w:val="0045390D"/>
    <w:rsid w:val="00455918"/>
    <w:rsid w:val="00486C72"/>
    <w:rsid w:val="004B7F13"/>
    <w:rsid w:val="004D09C7"/>
    <w:rsid w:val="004E0962"/>
    <w:rsid w:val="004E411C"/>
    <w:rsid w:val="004F1BF2"/>
    <w:rsid w:val="004F3440"/>
    <w:rsid w:val="00500667"/>
    <w:rsid w:val="00522B95"/>
    <w:rsid w:val="005444DC"/>
    <w:rsid w:val="00561799"/>
    <w:rsid w:val="00566941"/>
    <w:rsid w:val="00590726"/>
    <w:rsid w:val="005948C8"/>
    <w:rsid w:val="00595DFA"/>
    <w:rsid w:val="005A51D1"/>
    <w:rsid w:val="005B4571"/>
    <w:rsid w:val="005D1DDF"/>
    <w:rsid w:val="005E4345"/>
    <w:rsid w:val="005E4990"/>
    <w:rsid w:val="005E6110"/>
    <w:rsid w:val="005E68BC"/>
    <w:rsid w:val="0060730A"/>
    <w:rsid w:val="00610670"/>
    <w:rsid w:val="0061373B"/>
    <w:rsid w:val="006164E8"/>
    <w:rsid w:val="00630CF6"/>
    <w:rsid w:val="0063722C"/>
    <w:rsid w:val="00637577"/>
    <w:rsid w:val="006633AC"/>
    <w:rsid w:val="00666559"/>
    <w:rsid w:val="00672CA9"/>
    <w:rsid w:val="006832B4"/>
    <w:rsid w:val="00684415"/>
    <w:rsid w:val="0069158F"/>
    <w:rsid w:val="006A2517"/>
    <w:rsid w:val="006C2308"/>
    <w:rsid w:val="006D2058"/>
    <w:rsid w:val="006D2478"/>
    <w:rsid w:val="006D2ECE"/>
    <w:rsid w:val="006E1AF8"/>
    <w:rsid w:val="006E275C"/>
    <w:rsid w:val="006E754E"/>
    <w:rsid w:val="006F0A91"/>
    <w:rsid w:val="006F47C4"/>
    <w:rsid w:val="00732915"/>
    <w:rsid w:val="00740001"/>
    <w:rsid w:val="00741E16"/>
    <w:rsid w:val="00755675"/>
    <w:rsid w:val="00772600"/>
    <w:rsid w:val="00774DF2"/>
    <w:rsid w:val="0078172C"/>
    <w:rsid w:val="00790BCC"/>
    <w:rsid w:val="007A3913"/>
    <w:rsid w:val="007A714B"/>
    <w:rsid w:val="007A7740"/>
    <w:rsid w:val="007B7BA1"/>
    <w:rsid w:val="007C7E38"/>
    <w:rsid w:val="007E3AC0"/>
    <w:rsid w:val="007F0043"/>
    <w:rsid w:val="007F74A9"/>
    <w:rsid w:val="008315C9"/>
    <w:rsid w:val="00837DCA"/>
    <w:rsid w:val="00840016"/>
    <w:rsid w:val="008417FA"/>
    <w:rsid w:val="00842D4C"/>
    <w:rsid w:val="00863F22"/>
    <w:rsid w:val="00877053"/>
    <w:rsid w:val="00877190"/>
    <w:rsid w:val="00894C6D"/>
    <w:rsid w:val="008A016B"/>
    <w:rsid w:val="008B5ABE"/>
    <w:rsid w:val="009028BF"/>
    <w:rsid w:val="00903476"/>
    <w:rsid w:val="00905BF5"/>
    <w:rsid w:val="00906D5D"/>
    <w:rsid w:val="00911978"/>
    <w:rsid w:val="0092140D"/>
    <w:rsid w:val="009261BE"/>
    <w:rsid w:val="00953580"/>
    <w:rsid w:val="00967E91"/>
    <w:rsid w:val="00995531"/>
    <w:rsid w:val="00996436"/>
    <w:rsid w:val="009B3AF6"/>
    <w:rsid w:val="009D27C6"/>
    <w:rsid w:val="009D3956"/>
    <w:rsid w:val="009D3F3B"/>
    <w:rsid w:val="009E12E7"/>
    <w:rsid w:val="009E5E48"/>
    <w:rsid w:val="009F1067"/>
    <w:rsid w:val="009F5290"/>
    <w:rsid w:val="00A03B7C"/>
    <w:rsid w:val="00A05F3B"/>
    <w:rsid w:val="00A1169B"/>
    <w:rsid w:val="00A16F53"/>
    <w:rsid w:val="00A179B0"/>
    <w:rsid w:val="00A269F1"/>
    <w:rsid w:val="00A30AAA"/>
    <w:rsid w:val="00A34C95"/>
    <w:rsid w:val="00A37232"/>
    <w:rsid w:val="00A515AB"/>
    <w:rsid w:val="00A536E2"/>
    <w:rsid w:val="00A56D5E"/>
    <w:rsid w:val="00A776B6"/>
    <w:rsid w:val="00A85F91"/>
    <w:rsid w:val="00A95B08"/>
    <w:rsid w:val="00AA247E"/>
    <w:rsid w:val="00AA3A3B"/>
    <w:rsid w:val="00AB49A4"/>
    <w:rsid w:val="00AB783A"/>
    <w:rsid w:val="00AC321A"/>
    <w:rsid w:val="00AC6E32"/>
    <w:rsid w:val="00AD0F87"/>
    <w:rsid w:val="00AD7F18"/>
    <w:rsid w:val="00AE0E92"/>
    <w:rsid w:val="00B05229"/>
    <w:rsid w:val="00B069A2"/>
    <w:rsid w:val="00B41226"/>
    <w:rsid w:val="00B54100"/>
    <w:rsid w:val="00B8178A"/>
    <w:rsid w:val="00B90249"/>
    <w:rsid w:val="00B95E01"/>
    <w:rsid w:val="00BA606B"/>
    <w:rsid w:val="00BB4B76"/>
    <w:rsid w:val="00BD1DDF"/>
    <w:rsid w:val="00C0304A"/>
    <w:rsid w:val="00C05326"/>
    <w:rsid w:val="00C0661F"/>
    <w:rsid w:val="00C24DE5"/>
    <w:rsid w:val="00C31E66"/>
    <w:rsid w:val="00C55DCD"/>
    <w:rsid w:val="00C6194A"/>
    <w:rsid w:val="00C7657B"/>
    <w:rsid w:val="00C804C8"/>
    <w:rsid w:val="00C82963"/>
    <w:rsid w:val="00C84326"/>
    <w:rsid w:val="00C874B9"/>
    <w:rsid w:val="00CB2390"/>
    <w:rsid w:val="00CB5650"/>
    <w:rsid w:val="00CC23BA"/>
    <w:rsid w:val="00CC4713"/>
    <w:rsid w:val="00CD038C"/>
    <w:rsid w:val="00CD6981"/>
    <w:rsid w:val="00CE44AC"/>
    <w:rsid w:val="00D10744"/>
    <w:rsid w:val="00D3059E"/>
    <w:rsid w:val="00D4092A"/>
    <w:rsid w:val="00D66F98"/>
    <w:rsid w:val="00D91B06"/>
    <w:rsid w:val="00D9283F"/>
    <w:rsid w:val="00D94438"/>
    <w:rsid w:val="00DA035A"/>
    <w:rsid w:val="00DB2C3A"/>
    <w:rsid w:val="00DC46BD"/>
    <w:rsid w:val="00DC4B95"/>
    <w:rsid w:val="00DD53A7"/>
    <w:rsid w:val="00DE1592"/>
    <w:rsid w:val="00E03712"/>
    <w:rsid w:val="00E03FAA"/>
    <w:rsid w:val="00E1026E"/>
    <w:rsid w:val="00E32CF6"/>
    <w:rsid w:val="00E63DDA"/>
    <w:rsid w:val="00E720D4"/>
    <w:rsid w:val="00E872D7"/>
    <w:rsid w:val="00E921B4"/>
    <w:rsid w:val="00EA48A9"/>
    <w:rsid w:val="00EB28F8"/>
    <w:rsid w:val="00EB5DD2"/>
    <w:rsid w:val="00EC159C"/>
    <w:rsid w:val="00ED02E9"/>
    <w:rsid w:val="00EE4DFB"/>
    <w:rsid w:val="00F01289"/>
    <w:rsid w:val="00F23E0A"/>
    <w:rsid w:val="00F35220"/>
    <w:rsid w:val="00F36DD3"/>
    <w:rsid w:val="00F429EC"/>
    <w:rsid w:val="00F55445"/>
    <w:rsid w:val="00F55520"/>
    <w:rsid w:val="00F640D0"/>
    <w:rsid w:val="00F64B31"/>
    <w:rsid w:val="00F673A9"/>
    <w:rsid w:val="00F714E4"/>
    <w:rsid w:val="00F73D8A"/>
    <w:rsid w:val="00F848C1"/>
    <w:rsid w:val="00F85A30"/>
    <w:rsid w:val="00F90CCC"/>
    <w:rsid w:val="00FA10B1"/>
    <w:rsid w:val="00FC5F0C"/>
    <w:rsid w:val="00FD1B60"/>
    <w:rsid w:val="00FE23E5"/>
    <w:rsid w:val="00FE3EEA"/>
    <w:rsid w:val="00FF428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89C6C4A"/>
  <w15:chartTrackingRefBased/>
  <w15:docId w15:val="{65E56366-E0EE-4BDE-8859-A43BEA7D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78"/>
  </w:style>
  <w:style w:type="paragraph" w:styleId="Ttulo1">
    <w:name w:val="heading 1"/>
    <w:basedOn w:val="Normal"/>
    <w:next w:val="Normal"/>
    <w:link w:val="Ttulo1Car"/>
    <w:uiPriority w:val="9"/>
    <w:qFormat/>
    <w:rsid w:val="00672C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72C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72CA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72CA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72CA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72CA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72CA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72CA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72CA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2CA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72C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72CA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72CA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72CA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72CA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72CA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72C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72CA9"/>
    <w:rPr>
      <w:rFonts w:eastAsiaTheme="majorEastAsia" w:cstheme="majorBidi"/>
      <w:color w:val="272727" w:themeColor="text1" w:themeTint="D8"/>
    </w:rPr>
  </w:style>
  <w:style w:type="paragraph" w:styleId="Ttulo">
    <w:name w:val="Title"/>
    <w:basedOn w:val="Normal"/>
    <w:next w:val="Normal"/>
    <w:link w:val="TtuloCar"/>
    <w:uiPriority w:val="10"/>
    <w:qFormat/>
    <w:rsid w:val="00672C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72C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72CA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72CA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72CA9"/>
    <w:pPr>
      <w:spacing w:before="160"/>
      <w:jc w:val="center"/>
    </w:pPr>
    <w:rPr>
      <w:i/>
      <w:iCs/>
      <w:color w:val="404040" w:themeColor="text1" w:themeTint="BF"/>
    </w:rPr>
  </w:style>
  <w:style w:type="character" w:customStyle="1" w:styleId="CitaCar">
    <w:name w:val="Cita Car"/>
    <w:basedOn w:val="Fuentedeprrafopredeter"/>
    <w:link w:val="Cita"/>
    <w:uiPriority w:val="29"/>
    <w:rsid w:val="00672CA9"/>
    <w:rPr>
      <w:i/>
      <w:iCs/>
      <w:color w:val="404040" w:themeColor="text1" w:themeTint="BF"/>
    </w:rPr>
  </w:style>
  <w:style w:type="paragraph" w:styleId="Prrafodelista">
    <w:name w:val="List Paragraph"/>
    <w:basedOn w:val="Normal"/>
    <w:uiPriority w:val="34"/>
    <w:qFormat/>
    <w:rsid w:val="00672CA9"/>
    <w:pPr>
      <w:ind w:left="720"/>
      <w:contextualSpacing/>
    </w:pPr>
  </w:style>
  <w:style w:type="character" w:styleId="nfasisintenso">
    <w:name w:val="Intense Emphasis"/>
    <w:basedOn w:val="Fuentedeprrafopredeter"/>
    <w:uiPriority w:val="21"/>
    <w:qFormat/>
    <w:rsid w:val="00672CA9"/>
    <w:rPr>
      <w:i/>
      <w:iCs/>
      <w:color w:val="0F4761" w:themeColor="accent1" w:themeShade="BF"/>
    </w:rPr>
  </w:style>
  <w:style w:type="paragraph" w:styleId="Citadestacada">
    <w:name w:val="Intense Quote"/>
    <w:basedOn w:val="Normal"/>
    <w:next w:val="Normal"/>
    <w:link w:val="CitadestacadaCar"/>
    <w:uiPriority w:val="30"/>
    <w:qFormat/>
    <w:rsid w:val="00672C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72CA9"/>
    <w:rPr>
      <w:i/>
      <w:iCs/>
      <w:color w:val="0F4761" w:themeColor="accent1" w:themeShade="BF"/>
    </w:rPr>
  </w:style>
  <w:style w:type="character" w:styleId="Referenciaintensa">
    <w:name w:val="Intense Reference"/>
    <w:basedOn w:val="Fuentedeprrafopredeter"/>
    <w:uiPriority w:val="32"/>
    <w:qFormat/>
    <w:rsid w:val="00672CA9"/>
    <w:rPr>
      <w:b/>
      <w:bCs/>
      <w:smallCaps/>
      <w:color w:val="0F4761" w:themeColor="accent1" w:themeShade="BF"/>
      <w:spacing w:val="5"/>
    </w:rPr>
  </w:style>
  <w:style w:type="paragraph" w:styleId="Encabezado">
    <w:name w:val="header"/>
    <w:basedOn w:val="Normal"/>
    <w:link w:val="EncabezadoCar"/>
    <w:uiPriority w:val="99"/>
    <w:unhideWhenUsed/>
    <w:rsid w:val="00672CA9"/>
    <w:pPr>
      <w:tabs>
        <w:tab w:val="center" w:pos="4419"/>
        <w:tab w:val="right" w:pos="8838"/>
      </w:tabs>
      <w:spacing w:after="0" w:line="240" w:lineRule="auto"/>
    </w:pPr>
    <w:rPr>
      <w:kern w:val="0"/>
      <w:sz w:val="22"/>
      <w:szCs w:val="22"/>
      <w14:ligatures w14:val="none"/>
    </w:rPr>
  </w:style>
  <w:style w:type="character" w:customStyle="1" w:styleId="EncabezadoCar">
    <w:name w:val="Encabezado Car"/>
    <w:basedOn w:val="Fuentedeprrafopredeter"/>
    <w:link w:val="Encabezado"/>
    <w:uiPriority w:val="99"/>
    <w:rsid w:val="00672CA9"/>
    <w:rPr>
      <w:kern w:val="0"/>
      <w:sz w:val="22"/>
      <w:szCs w:val="22"/>
      <w14:ligatures w14:val="none"/>
    </w:rPr>
  </w:style>
  <w:style w:type="paragraph" w:styleId="Piedepgina">
    <w:name w:val="footer"/>
    <w:basedOn w:val="Normal"/>
    <w:link w:val="PiedepginaCar"/>
    <w:uiPriority w:val="99"/>
    <w:unhideWhenUsed/>
    <w:rsid w:val="00672CA9"/>
    <w:pPr>
      <w:tabs>
        <w:tab w:val="center" w:pos="4419"/>
        <w:tab w:val="right" w:pos="8838"/>
      </w:tabs>
      <w:spacing w:after="0" w:line="240" w:lineRule="auto"/>
    </w:pPr>
    <w:rPr>
      <w:kern w:val="0"/>
      <w:sz w:val="22"/>
      <w:szCs w:val="22"/>
      <w14:ligatures w14:val="none"/>
    </w:rPr>
  </w:style>
  <w:style w:type="character" w:customStyle="1" w:styleId="PiedepginaCar">
    <w:name w:val="Pie de página Car"/>
    <w:basedOn w:val="Fuentedeprrafopredeter"/>
    <w:link w:val="Piedepgina"/>
    <w:uiPriority w:val="99"/>
    <w:rsid w:val="00672CA9"/>
    <w:rPr>
      <w:kern w:val="0"/>
      <w:sz w:val="22"/>
      <w:szCs w:val="22"/>
      <w14:ligatures w14:val="none"/>
    </w:rPr>
  </w:style>
  <w:style w:type="character" w:styleId="Hipervnculo">
    <w:name w:val="Hyperlink"/>
    <w:basedOn w:val="Fuentedeprrafopredeter"/>
    <w:rsid w:val="00672CA9"/>
    <w:rPr>
      <w:color w:val="0000FF"/>
      <w:u w:val="single"/>
    </w:rPr>
  </w:style>
  <w:style w:type="table" w:styleId="Tablaconcuadrcula">
    <w:name w:val="Table Grid"/>
    <w:basedOn w:val="Tablanormal"/>
    <w:uiPriority w:val="39"/>
    <w:rsid w:val="00672CA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092A"/>
    <w:pPr>
      <w:autoSpaceDE w:val="0"/>
      <w:autoSpaceDN w:val="0"/>
      <w:adjustRightInd w:val="0"/>
      <w:spacing w:after="0" w:line="240" w:lineRule="auto"/>
    </w:pPr>
    <w:rPr>
      <w:rFonts w:ascii="Arial" w:hAnsi="Arial" w:cs="Arial"/>
      <w:color w:val="000000"/>
      <w:kern w:val="0"/>
    </w:rPr>
  </w:style>
  <w:style w:type="table" w:customStyle="1" w:styleId="Tablaconcuadrcula1">
    <w:name w:val="Tabla con cuadrícula1"/>
    <w:basedOn w:val="Tablanormal"/>
    <w:next w:val="Tablaconcuadrcula"/>
    <w:uiPriority w:val="39"/>
    <w:rsid w:val="0061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2C3A"/>
    <w:pPr>
      <w:spacing w:after="0" w:line="240" w:lineRule="auto"/>
    </w:pPr>
  </w:style>
  <w:style w:type="character" w:styleId="Refdecomentario">
    <w:name w:val="annotation reference"/>
    <w:basedOn w:val="Fuentedeprrafopredeter"/>
    <w:uiPriority w:val="99"/>
    <w:semiHidden/>
    <w:unhideWhenUsed/>
    <w:rsid w:val="00422FB3"/>
    <w:rPr>
      <w:sz w:val="16"/>
      <w:szCs w:val="16"/>
    </w:rPr>
  </w:style>
  <w:style w:type="paragraph" w:styleId="Textocomentario">
    <w:name w:val="annotation text"/>
    <w:basedOn w:val="Normal"/>
    <w:link w:val="TextocomentarioCar"/>
    <w:uiPriority w:val="99"/>
    <w:unhideWhenUsed/>
    <w:rsid w:val="00422FB3"/>
    <w:pPr>
      <w:spacing w:line="240" w:lineRule="auto"/>
    </w:pPr>
    <w:rPr>
      <w:sz w:val="20"/>
      <w:szCs w:val="20"/>
    </w:rPr>
  </w:style>
  <w:style w:type="character" w:customStyle="1" w:styleId="TextocomentarioCar">
    <w:name w:val="Texto comentario Car"/>
    <w:basedOn w:val="Fuentedeprrafopredeter"/>
    <w:link w:val="Textocomentario"/>
    <w:uiPriority w:val="99"/>
    <w:rsid w:val="00422FB3"/>
    <w:rPr>
      <w:sz w:val="20"/>
      <w:szCs w:val="20"/>
    </w:rPr>
  </w:style>
  <w:style w:type="paragraph" w:styleId="Asuntodelcomentario">
    <w:name w:val="annotation subject"/>
    <w:basedOn w:val="Textocomentario"/>
    <w:next w:val="Textocomentario"/>
    <w:link w:val="AsuntodelcomentarioCar"/>
    <w:uiPriority w:val="99"/>
    <w:semiHidden/>
    <w:unhideWhenUsed/>
    <w:rsid w:val="00422FB3"/>
    <w:rPr>
      <w:b/>
      <w:bCs/>
    </w:rPr>
  </w:style>
  <w:style w:type="character" w:customStyle="1" w:styleId="AsuntodelcomentarioCar">
    <w:name w:val="Asunto del comentario Car"/>
    <w:basedOn w:val="TextocomentarioCar"/>
    <w:link w:val="Asuntodelcomentario"/>
    <w:uiPriority w:val="99"/>
    <w:semiHidden/>
    <w:rsid w:val="00422F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package" Target="embeddings/Microsoft_Word_Document.doc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pen@supen.fi.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7887440F83E44DBF6CC4DE0E9E9DD0" ma:contentTypeVersion="22" ma:contentTypeDescription="Crear nuevo documento." ma:contentTypeScope="" ma:versionID="a65bd15bd8c4d8065e6d2794053ef7ca">
  <xsd:schema xmlns:xsd="http://www.w3.org/2001/XMLSchema" xmlns:xs="http://www.w3.org/2001/XMLSchema" xmlns:p="http://schemas.microsoft.com/office/2006/metadata/properties" xmlns:ns2="6ac3b616-3039-448c-a622-822692bef430" xmlns:ns3="f98666fa-fc93-4cf2-9679-f47c1b2c9ba3" xmlns:ns4="ef69d38d-c069-47fd-a86d-65acf93227a5" targetNamespace="http://schemas.microsoft.com/office/2006/metadata/properties" ma:root="true" ma:fieldsID="68ed2f9491dd9555115d7741a0f9f394" ns2:_="" ns3:_="" ns4:_="">
    <xsd:import namespace="6ac3b616-3039-448c-a622-822692bef430"/>
    <xsd:import namespace="f98666fa-fc93-4cf2-9679-f47c1b2c9ba3"/>
    <xsd:import namespace="ef69d38d-c069-47fd-a86d-65acf93227a5"/>
    <xsd:element name="properties">
      <xsd:complexType>
        <xsd:sequence>
          <xsd:element name="documentManagement">
            <xsd:complexType>
              <xsd:all>
                <xsd:element ref="ns2:Evento" minOccurs="0"/>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Estado" minOccurs="0"/>
                <xsd:element ref="ns2:IdEvento" minOccurs="0"/>
                <xsd:element ref="ns2:IdSes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3b616-3039-448c-a622-822692bef430" elementFormDefault="qualified">
    <xsd:import namespace="http://schemas.microsoft.com/office/2006/documentManagement/types"/>
    <xsd:import namespace="http://schemas.microsoft.com/office/infopath/2007/PartnerControls"/>
    <xsd:element name="Evento" ma:index="8" nillable="true" ma:displayName="Evento" ma:format="Hyperlink" ma:internalName="Event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0adf84e-870a-453e-bcaf-71f8aafc2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stado" ma:index="22" nillable="true" ma:displayName="Estado" ma:indexed="true" ma:internalName="Estado">
      <xsd:simpleType>
        <xsd:restriction base="dms:Text">
          <xsd:maxLength value="255"/>
        </xsd:restriction>
      </xsd:simpleType>
    </xsd:element>
    <xsd:element name="IdEvento" ma:index="23" nillable="true" ma:displayName="IdEvento" ma:indexed="true" ma:internalName="IdEvento">
      <xsd:simpleType>
        <xsd:restriction base="dms:Text">
          <xsd:maxLength value="255"/>
        </xsd:restriction>
      </xsd:simpleType>
    </xsd:element>
    <xsd:element name="IdSession" ma:index="24" nillable="true" ma:displayName="IdSession" ma:indexed="true" ma:internalName="IdSession">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8666fa-fc93-4cf2-9679-f47c1b2c9ba3"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69d38d-c069-47fd-a86d-65acf93227a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70bbaf-580c-450a-8201-347f5afcb22f}" ma:internalName="TaxCatchAll" ma:showField="CatchAllData" ma:web="f98666fa-fc93-4cf2-9679-f47c1b2c9b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dEvento xmlns="6ac3b616-3039-448c-a622-822692bef430" xsi:nil="true"/>
    <lcf76f155ced4ddcb4097134ff3c332f xmlns="6ac3b616-3039-448c-a622-822692bef430">
      <Terms xmlns="http://schemas.microsoft.com/office/infopath/2007/PartnerControls"/>
    </lcf76f155ced4ddcb4097134ff3c332f>
    <IdSession xmlns="6ac3b616-3039-448c-a622-822692bef430" xsi:nil="true"/>
    <TaxCatchAll xmlns="ef69d38d-c069-47fd-a86d-65acf93227a5" xsi:nil="true"/>
    <Estado xmlns="6ac3b616-3039-448c-a622-822692bef430" xsi:nil="true"/>
    <Evento xmlns="6ac3b616-3039-448c-a622-822692bef430">
      <Url>https://si.supen.fi.cr/Tramites/Tram_Detalle_Evento.aspx?evento=2025002750&amp;op=3</Url>
      <Description>2025002750</Description>
    </Event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01FF322B-DCEB-45B4-A086-705644BDE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3b616-3039-448c-a622-822692bef430"/>
    <ds:schemaRef ds:uri="f98666fa-fc93-4cf2-9679-f47c1b2c9ba3"/>
    <ds:schemaRef ds:uri="ef69d38d-c069-47fd-a86d-65acf9322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337378-3E1A-4ECF-8BE4-DCE5887999E8}">
  <ds:schemaRefs>
    <ds:schemaRef ds:uri="http://schemas.microsoft.com/office/infopath/2007/PartnerControls"/>
    <ds:schemaRef ds:uri="http://purl.org/dc/elements/1.1/"/>
    <ds:schemaRef ds:uri="http://purl.org/dc/dcmitype/"/>
    <ds:schemaRef ds:uri="f98666fa-fc93-4cf2-9679-f47c1b2c9ba3"/>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ef69d38d-c069-47fd-a86d-65acf93227a5"/>
    <ds:schemaRef ds:uri="6ac3b616-3039-448c-a622-822692bef430"/>
    <ds:schemaRef ds:uri="http://purl.org/dc/terms/"/>
  </ds:schemaRefs>
</ds:datastoreItem>
</file>

<file path=customXml/itemProps3.xml><?xml version="1.0" encoding="utf-8"?>
<ds:datastoreItem xmlns:ds="http://schemas.openxmlformats.org/officeDocument/2006/customXml" ds:itemID="{7AB5B9E9-E4D3-4B88-A01E-D75615E053BD}">
  <ds:schemaRefs>
    <ds:schemaRef ds:uri="http://schemas.openxmlformats.org/officeDocument/2006/bibliography"/>
  </ds:schemaRefs>
</ds:datastoreItem>
</file>

<file path=customXml/itemProps4.xml><?xml version="1.0" encoding="utf-8"?>
<ds:datastoreItem xmlns:ds="http://schemas.openxmlformats.org/officeDocument/2006/customXml" ds:itemID="{45B0F52C-1BDD-4158-A98C-ABE18C16B1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3986</Words>
  <Characters>21926</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Banco Central de Costa Rica</Company>
  <LinksUpToDate>false</LinksUpToDate>
  <CharactersWithSpaces>25861</CharactersWithSpaces>
  <SharedDoc>false</SharedDoc>
  <HLinks>
    <vt:vector size="12" baseType="variant">
      <vt:variant>
        <vt:i4>5767214</vt:i4>
      </vt:variant>
      <vt:variant>
        <vt:i4>9</vt:i4>
      </vt:variant>
      <vt:variant>
        <vt:i4>0</vt:i4>
      </vt:variant>
      <vt:variant>
        <vt:i4>5</vt:i4>
      </vt:variant>
      <vt:variant>
        <vt:lpwstr>mailto:supen@supen.fi.cr</vt:lpwstr>
      </vt:variant>
      <vt:variant>
        <vt:lpwstr/>
      </vt:variant>
      <vt:variant>
        <vt:i4>5767214</vt:i4>
      </vt:variant>
      <vt:variant>
        <vt:i4>6</vt:i4>
      </vt:variant>
      <vt:variant>
        <vt:i4>0</vt:i4>
      </vt:variant>
      <vt:variant>
        <vt:i4>5</vt:i4>
      </vt:variant>
      <vt:variant>
        <vt:lpwstr>mailto:supen@supen.fi.cr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DE OBSERVACIONES.docx</dc:title>
  <dc:subject/>
  <dc:creator>RODRIGUEZ BOVIERI GIANFRANCO</dc:creator>
  <cp:keywords/>
  <dc:description/>
  <cp:lastModifiedBy>RODRIGUEZ BOVIERI GIANFRANCO</cp:lastModifiedBy>
  <cp:revision>2</cp:revision>
  <dcterms:created xsi:type="dcterms:W3CDTF">2025-05-23T16:13:00Z</dcterms:created>
  <dcterms:modified xsi:type="dcterms:W3CDTF">2025-05-23T16:13:00Z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22fd2aaa,b8192b6,102a3c25</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2025-01-29T02:56:54Z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d49a7ccf-108b-45ef-83e2-785d31bc86f9</vt:lpwstr>
  </property>
  <property fmtid="{D5CDD505-2E9C-101B-9397-08002B2CF9AE}" pid="11" name="MSIP_Label_b8b4be34-365a-4a68-b9fb-75c1b6874315_ContentBits">
    <vt:lpwstr>2</vt:lpwstr>
  </property>
  <property fmtid="{D5CDD505-2E9C-101B-9397-08002B2CF9AE}" pid="12" name="ContentTypeId">
    <vt:lpwstr>0x010100F67887440F83E44DBF6CC4DE0E9E9DD0</vt:lpwstr>
  </property>
  <property fmtid="{D5CDD505-2E9C-101B-9397-08002B2CF9AE}" pid="13" name="MediaServiceImageTags">
    <vt:lpwstr/>
  </property>
</Properties>
</file>